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7A548">
      <w:pPr>
        <w:ind w:left="426" w:right="-17"/>
        <w:jc w:val="center"/>
        <w:rPr>
          <w:rFonts w:ascii="Arial" w:hAnsi="Arial" w:cs="Arial"/>
          <w:b/>
        </w:rPr>
      </w:pPr>
      <w:bookmarkStart w:id="0" w:name="_Hlk142658039"/>
    </w:p>
    <w:p w14:paraId="47E5D65F">
      <w:pPr>
        <w:ind w:left="426" w:right="-17"/>
        <w:jc w:val="center"/>
        <w:rPr>
          <w:rFonts w:ascii="Arial" w:hAnsi="Arial" w:cs="Arial"/>
          <w:b/>
        </w:rPr>
      </w:pPr>
      <w:r>
        <w:rPr>
          <w:rFonts w:ascii="Arial" w:hAnsi="Arial" w:cs="Arial"/>
          <w:b/>
        </w:rPr>
        <w:t>ANEXO VII</w:t>
      </w:r>
    </w:p>
    <w:p w14:paraId="46B64F96">
      <w:pPr>
        <w:ind w:left="426" w:right="-17"/>
        <w:jc w:val="center"/>
        <w:rPr>
          <w:rFonts w:ascii="Arial" w:hAnsi="Arial" w:cs="Arial"/>
          <w:b/>
        </w:rPr>
      </w:pPr>
    </w:p>
    <w:p w14:paraId="379AD05E">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177EBF7D">
      <w:pPr>
        <w:ind w:left="426" w:right="-17"/>
        <w:jc w:val="center"/>
        <w:rPr>
          <w:rFonts w:ascii="Arial" w:hAnsi="Arial" w:cs="Arial"/>
          <w:b/>
        </w:rPr>
      </w:pPr>
    </w:p>
    <w:p w14:paraId="2AB63220">
      <w:pPr>
        <w:ind w:left="4253" w:right="-17"/>
        <w:jc w:val="both"/>
        <w:rPr>
          <w:rFonts w:ascii="Arial" w:hAnsi="Arial" w:cs="Arial"/>
          <w:b/>
        </w:rPr>
      </w:pPr>
    </w:p>
    <w:p w14:paraId="1EADE88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4C40076A">
      <w:pPr>
        <w:spacing w:line="276" w:lineRule="auto"/>
        <w:ind w:left="5103" w:right="-17"/>
        <w:jc w:val="both"/>
        <w:rPr>
          <w:rFonts w:ascii="Arial" w:hAnsi="Arial" w:cs="Arial"/>
          <w:b/>
        </w:rPr>
      </w:pPr>
    </w:p>
    <w:bookmarkEnd w:id="1"/>
    <w:p w14:paraId="6E21BCF7">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Process</w:t>
      </w:r>
      <w:r>
        <w:rPr>
          <w:rFonts w:ascii="Arial" w:hAnsi="Arial" w:cs="Arial"/>
          <w:b/>
          <w:bCs/>
          <w:sz w:val="22"/>
          <w:szCs w:val="22"/>
          <w:highlight w:val="none"/>
        </w:rPr>
        <w:t xml:space="preserve">o Administrativo nº </w:t>
      </w:r>
      <w:r>
        <w:rPr>
          <w:rFonts w:hint="default" w:ascii="Arial" w:hAnsi="Arial" w:cs="Arial"/>
          <w:b/>
          <w:bCs/>
          <w:sz w:val="22"/>
          <w:szCs w:val="22"/>
          <w:highlight w:val="none"/>
          <w:lang w:val="pt-BR"/>
        </w:rPr>
        <w:t>31.612/2025</w:t>
      </w:r>
      <w:r>
        <w:rPr>
          <w:rFonts w:ascii="Arial" w:hAnsi="Arial" w:cs="Arial"/>
          <w:b/>
          <w:bCs/>
          <w:sz w:val="22"/>
          <w:szCs w:val="22"/>
          <w:highlight w:val="none"/>
        </w:rPr>
        <w:t xml:space="preserve">, </w:t>
      </w:r>
      <w:r>
        <w:rPr>
          <w:rFonts w:ascii="Arial" w:hAnsi="Arial" w:cs="Arial"/>
          <w:sz w:val="22"/>
          <w:szCs w:val="22"/>
          <w:highlight w:val="none"/>
        </w:rPr>
        <w:t xml:space="preserve">e em observância às disposições da Lei nº 14.133, de 1º de abril de 2021 </w:t>
      </w:r>
      <w:r>
        <w:rPr>
          <w:rFonts w:ascii="Arial" w:hAnsi="Arial" w:cs="Arial"/>
          <w:sz w:val="22"/>
          <w:szCs w:val="22"/>
          <w:highlight w:val="none"/>
          <w:lang w:val="pt-PT"/>
        </w:rPr>
        <w:t>e demais legislações aplicáveis</w:t>
      </w:r>
      <w:r>
        <w:rPr>
          <w:rFonts w:ascii="Arial" w:hAnsi="Arial" w:cs="Arial"/>
          <w:sz w:val="22"/>
          <w:szCs w:val="22"/>
          <w:highlight w:val="none"/>
        </w:rPr>
        <w:t>,</w:t>
      </w:r>
      <w:r>
        <w:rPr>
          <w:rFonts w:ascii="Arial" w:hAnsi="Arial" w:cs="Arial"/>
          <w:i/>
          <w:sz w:val="22"/>
          <w:szCs w:val="22"/>
          <w:highlight w:val="none"/>
        </w:rPr>
        <w:t xml:space="preserve"> </w:t>
      </w:r>
      <w:r>
        <w:rPr>
          <w:rFonts w:ascii="Arial" w:hAnsi="Arial" w:cs="Arial"/>
          <w:sz w:val="22"/>
          <w:szCs w:val="22"/>
          <w:highlight w:val="none"/>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90.005/2025</w:t>
      </w:r>
      <w:r>
        <w:rPr>
          <w:rFonts w:ascii="Arial" w:hAnsi="Arial" w:cs="Arial"/>
          <w:sz w:val="22"/>
          <w:szCs w:val="22"/>
          <w:highlight w:val="none"/>
        </w:rPr>
        <w:t xml:space="preserve">, mediante as cláusulas </w:t>
      </w:r>
      <w:r>
        <w:rPr>
          <w:rFonts w:ascii="Arial" w:hAnsi="Arial" w:cs="Arial"/>
          <w:sz w:val="22"/>
          <w:szCs w:val="22"/>
        </w:rPr>
        <w:t>e condições a seguir enunciadas.</w:t>
      </w:r>
    </w:p>
    <w:p w14:paraId="15D1FBCC">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EF57C0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contratação de   </w:t>
      </w:r>
      <w:r>
        <w:rPr>
          <w:rFonts w:hint="default" w:ascii="Arial" w:hAnsi="Arial" w:eastAsia="Times New Roman" w:cs="Arial"/>
          <w:b/>
          <w:bCs/>
          <w:sz w:val="22"/>
          <w:szCs w:val="22"/>
          <w:highlight w:val="none"/>
          <w:lang w:val="en-US" w:eastAsia="pt-BR" w:bidi="ar-SA"/>
        </w:rPr>
        <w:t>C</w:t>
      </w:r>
      <w:r>
        <w:rPr>
          <w:rFonts w:ascii="Arial" w:hAnsi="Arial" w:eastAsia="Times New Roman" w:cs="Arial"/>
          <w:b/>
          <w:bCs/>
          <w:sz w:val="22"/>
          <w:szCs w:val="22"/>
          <w:highlight w:val="none"/>
          <w:lang w:val="pt-BR" w:eastAsia="pt-BR" w:bidi="ar-SA"/>
        </w:rPr>
        <w:t>ONTRATAÇÃO DE EMPRESA ESPECIALIZADA PARA O FORNECIMENTO DE MATERIAIS DE HIGIENE PESSOAL, destinados ao atendimento das demandas contínuas dos serviços socioassistenciais prestados pelo Centro de Referência Especializado para População em Situação de Rua (Centro POP) e pela Casa de Acolhimento Institucional Vila Sorriso (CAIVS), ambos integrantes da rede de proteção social do Sis- tema Único de Assistência Social (SUAS), em conformidade com a Lei Orgânica da Assistência Social (LOAS).</w:t>
      </w:r>
      <w:r>
        <w:rPr>
          <w:rFonts w:hint="default" w:ascii="Arial" w:hAnsi="Arial" w:eastAsia="Times New Roman" w:cs="Arial"/>
          <w:b/>
          <w:bCs/>
          <w:sz w:val="22"/>
          <w:szCs w:val="22"/>
          <w:highlight w:val="none"/>
          <w:lang w:val="pt-BR" w:eastAsia="pt-BR" w:bidi="ar-SA"/>
        </w:rPr>
        <w:t xml:space="preserve"> </w:t>
      </w:r>
      <w:r>
        <w:rPr>
          <w:rFonts w:ascii="Arial" w:hAnsi="Arial" w:eastAsia="Times New Roman" w:cs="Arial"/>
          <w:b/>
          <w:bCs/>
          <w:sz w:val="22"/>
          <w:szCs w:val="22"/>
          <w:highlight w:val="none"/>
          <w:lang w:val="pt-BR" w:eastAsia="pt-BR" w:bidi="ar-SA"/>
        </w:rPr>
        <w:t>A presente contratação tem por objetivo assegurar condições adequadas de higiene, dignidade, cui- dado e acolhimento aos usuários desses equipamentos públicos, que prestam atendimento direto a indivíduos e famílias em situação de vulnerabilidade e risco social</w:t>
      </w:r>
      <w:r>
        <w:rPr>
          <w:rFonts w:ascii="Arial" w:hAnsi="Arial" w:cs="Arial"/>
          <w:bCs/>
          <w:iCs/>
        </w:rPr>
        <w:t>, nas condições estabelecidas no Termo de Referência – Anexo I do edital.</w:t>
      </w:r>
      <w:bookmarkStart w:id="4" w:name="_GoBack"/>
      <w:bookmarkEnd w:id="4"/>
    </w:p>
    <w:p w14:paraId="6848277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3013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9DEF885">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9F0C268">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545F038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AA07BE3">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9BD69DE">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93182F">
            <w:pPr>
              <w:pStyle w:val="19"/>
              <w:ind w:left="0"/>
              <w:jc w:val="center"/>
              <w:rPr>
                <w:rFonts w:ascii="Arial" w:hAnsi="Arial" w:cs="Arial"/>
                <w:b/>
              </w:rPr>
            </w:pPr>
            <w:r>
              <w:rPr>
                <w:rFonts w:ascii="Arial" w:hAnsi="Arial" w:cs="Arial"/>
                <w:b/>
              </w:rPr>
              <w:t>VALOR</w:t>
            </w:r>
          </w:p>
        </w:tc>
      </w:tr>
      <w:tr w14:paraId="32C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48FBE36">
            <w:pPr>
              <w:rPr>
                <w:rFonts w:ascii="Arial" w:hAnsi="Arial" w:cs="Arial"/>
              </w:rPr>
            </w:pPr>
          </w:p>
        </w:tc>
        <w:tc>
          <w:tcPr>
            <w:tcW w:w="606" w:type="pct"/>
            <w:vMerge w:val="continue"/>
            <w:shd w:val="clear" w:color="auto" w:fill="D8D8D8"/>
          </w:tcPr>
          <w:p w14:paraId="49811FD8">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AF6F9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46AE2A1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2923C41">
            <w:pPr>
              <w:rPr>
                <w:rFonts w:ascii="Arial" w:hAnsi="Arial" w:cs="Arial"/>
              </w:rPr>
            </w:pPr>
          </w:p>
        </w:tc>
        <w:tc>
          <w:tcPr>
            <w:tcW w:w="839" w:type="pct"/>
            <w:shd w:val="clear" w:color="auto" w:fill="D8D8D8"/>
            <w:tcMar>
              <w:top w:w="0" w:type="dxa"/>
              <w:left w:w="108" w:type="dxa"/>
              <w:bottom w:w="0" w:type="dxa"/>
              <w:right w:w="108" w:type="dxa"/>
            </w:tcMar>
            <w:vAlign w:val="center"/>
          </w:tcPr>
          <w:p w14:paraId="5F1E5969">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A58FC25">
            <w:pPr>
              <w:pStyle w:val="19"/>
              <w:ind w:left="0"/>
              <w:jc w:val="center"/>
              <w:rPr>
                <w:rFonts w:ascii="Arial" w:hAnsi="Arial" w:cs="Arial"/>
                <w:b/>
              </w:rPr>
            </w:pPr>
            <w:r>
              <w:rPr>
                <w:rFonts w:ascii="Arial" w:hAnsi="Arial" w:cs="Arial"/>
                <w:b/>
              </w:rPr>
              <w:t>TOTAL</w:t>
            </w:r>
          </w:p>
        </w:tc>
      </w:tr>
      <w:tr w14:paraId="6E3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BEA9E3B">
            <w:pPr>
              <w:pStyle w:val="38"/>
              <w:jc w:val="center"/>
              <w:rPr>
                <w:rFonts w:ascii="Arial" w:hAnsi="Arial" w:cs="Arial"/>
                <w:b/>
              </w:rPr>
            </w:pPr>
            <w:r>
              <w:rPr>
                <w:rFonts w:ascii="Arial" w:hAnsi="Arial" w:cs="Arial"/>
                <w:b/>
              </w:rPr>
              <w:t>1</w:t>
            </w:r>
          </w:p>
        </w:tc>
        <w:tc>
          <w:tcPr>
            <w:tcW w:w="606" w:type="pct"/>
          </w:tcPr>
          <w:p w14:paraId="42C4E778">
            <w:pPr>
              <w:pStyle w:val="38"/>
              <w:jc w:val="both"/>
              <w:rPr>
                <w:rFonts w:ascii="Arial" w:hAnsi="Arial" w:cs="Arial"/>
              </w:rPr>
            </w:pPr>
          </w:p>
        </w:tc>
        <w:tc>
          <w:tcPr>
            <w:tcW w:w="1328" w:type="pct"/>
            <w:tcMar>
              <w:top w:w="0" w:type="dxa"/>
              <w:left w:w="108" w:type="dxa"/>
              <w:bottom w:w="0" w:type="dxa"/>
              <w:right w:w="108" w:type="dxa"/>
            </w:tcMar>
            <w:vAlign w:val="center"/>
          </w:tcPr>
          <w:p w14:paraId="16F0BC9D">
            <w:pPr>
              <w:pStyle w:val="38"/>
              <w:jc w:val="both"/>
              <w:rPr>
                <w:rFonts w:ascii="Arial" w:hAnsi="Arial" w:cs="Arial"/>
              </w:rPr>
            </w:pPr>
          </w:p>
        </w:tc>
        <w:tc>
          <w:tcPr>
            <w:tcW w:w="534" w:type="pct"/>
            <w:tcMar>
              <w:top w:w="0" w:type="dxa"/>
              <w:left w:w="108" w:type="dxa"/>
              <w:bottom w:w="0" w:type="dxa"/>
              <w:right w:w="108" w:type="dxa"/>
            </w:tcMar>
            <w:vAlign w:val="center"/>
          </w:tcPr>
          <w:p w14:paraId="5CB77E9A">
            <w:pPr>
              <w:pStyle w:val="38"/>
              <w:jc w:val="center"/>
              <w:rPr>
                <w:rFonts w:ascii="Arial" w:hAnsi="Arial" w:cs="Arial"/>
              </w:rPr>
            </w:pPr>
          </w:p>
        </w:tc>
        <w:tc>
          <w:tcPr>
            <w:tcW w:w="583" w:type="pct"/>
            <w:tcMar>
              <w:top w:w="0" w:type="dxa"/>
              <w:left w:w="108" w:type="dxa"/>
              <w:bottom w:w="0" w:type="dxa"/>
              <w:right w:w="108" w:type="dxa"/>
            </w:tcMar>
            <w:vAlign w:val="center"/>
          </w:tcPr>
          <w:p w14:paraId="0680BB6E">
            <w:pPr>
              <w:pStyle w:val="38"/>
              <w:jc w:val="center"/>
              <w:rPr>
                <w:rFonts w:ascii="Arial" w:hAnsi="Arial" w:cs="Arial"/>
                <w:b/>
              </w:rPr>
            </w:pPr>
          </w:p>
        </w:tc>
        <w:tc>
          <w:tcPr>
            <w:tcW w:w="839" w:type="pct"/>
            <w:tcMar>
              <w:top w:w="0" w:type="dxa"/>
              <w:left w:w="108" w:type="dxa"/>
              <w:bottom w:w="0" w:type="dxa"/>
              <w:right w:w="108" w:type="dxa"/>
            </w:tcMar>
            <w:vAlign w:val="center"/>
          </w:tcPr>
          <w:p w14:paraId="13A32A81">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5A24B89">
            <w:pPr>
              <w:pStyle w:val="38"/>
              <w:spacing w:after="0" w:line="240" w:lineRule="auto"/>
              <w:jc w:val="right"/>
              <w:rPr>
                <w:rFonts w:ascii="Arial" w:hAnsi="Arial" w:cs="Arial"/>
                <w:b/>
                <w:bCs/>
              </w:rPr>
            </w:pPr>
          </w:p>
        </w:tc>
      </w:tr>
      <w:tr w14:paraId="065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563AB0F">
            <w:pPr>
              <w:pStyle w:val="38"/>
              <w:jc w:val="center"/>
              <w:rPr>
                <w:rFonts w:ascii="Arial" w:hAnsi="Arial" w:cs="Arial"/>
                <w:b/>
              </w:rPr>
            </w:pPr>
            <w:r>
              <w:rPr>
                <w:rFonts w:ascii="Arial" w:hAnsi="Arial" w:cs="Arial"/>
                <w:b/>
              </w:rPr>
              <w:t>…</w:t>
            </w:r>
          </w:p>
        </w:tc>
        <w:tc>
          <w:tcPr>
            <w:tcW w:w="606" w:type="pct"/>
          </w:tcPr>
          <w:p w14:paraId="3BA639F0">
            <w:pPr>
              <w:pStyle w:val="38"/>
              <w:jc w:val="both"/>
              <w:rPr>
                <w:rFonts w:ascii="Arial" w:hAnsi="Arial" w:cs="Arial"/>
              </w:rPr>
            </w:pPr>
          </w:p>
        </w:tc>
        <w:tc>
          <w:tcPr>
            <w:tcW w:w="1328" w:type="pct"/>
            <w:tcMar>
              <w:top w:w="0" w:type="dxa"/>
              <w:left w:w="108" w:type="dxa"/>
              <w:bottom w:w="0" w:type="dxa"/>
              <w:right w:w="108" w:type="dxa"/>
            </w:tcMar>
            <w:vAlign w:val="center"/>
          </w:tcPr>
          <w:p w14:paraId="73097DB5">
            <w:pPr>
              <w:pStyle w:val="38"/>
              <w:jc w:val="both"/>
              <w:rPr>
                <w:rFonts w:ascii="Arial" w:hAnsi="Arial" w:cs="Arial"/>
              </w:rPr>
            </w:pPr>
          </w:p>
        </w:tc>
        <w:tc>
          <w:tcPr>
            <w:tcW w:w="534" w:type="pct"/>
            <w:tcMar>
              <w:top w:w="0" w:type="dxa"/>
              <w:left w:w="108" w:type="dxa"/>
              <w:bottom w:w="0" w:type="dxa"/>
              <w:right w:w="108" w:type="dxa"/>
            </w:tcMar>
            <w:vAlign w:val="center"/>
          </w:tcPr>
          <w:p w14:paraId="01F30996">
            <w:pPr>
              <w:pStyle w:val="38"/>
              <w:jc w:val="center"/>
              <w:rPr>
                <w:rFonts w:ascii="Arial" w:hAnsi="Arial" w:cs="Arial"/>
              </w:rPr>
            </w:pPr>
          </w:p>
        </w:tc>
        <w:tc>
          <w:tcPr>
            <w:tcW w:w="583" w:type="pct"/>
            <w:tcMar>
              <w:top w:w="0" w:type="dxa"/>
              <w:left w:w="108" w:type="dxa"/>
              <w:bottom w:w="0" w:type="dxa"/>
              <w:right w:w="108" w:type="dxa"/>
            </w:tcMar>
            <w:vAlign w:val="center"/>
          </w:tcPr>
          <w:p w14:paraId="63C36B19">
            <w:pPr>
              <w:pStyle w:val="38"/>
              <w:jc w:val="center"/>
              <w:rPr>
                <w:rFonts w:ascii="Arial" w:hAnsi="Arial" w:cs="Arial"/>
                <w:b/>
              </w:rPr>
            </w:pPr>
          </w:p>
        </w:tc>
        <w:tc>
          <w:tcPr>
            <w:tcW w:w="839" w:type="pct"/>
            <w:tcMar>
              <w:top w:w="0" w:type="dxa"/>
              <w:left w:w="108" w:type="dxa"/>
              <w:bottom w:w="0" w:type="dxa"/>
              <w:right w:w="108" w:type="dxa"/>
            </w:tcMar>
            <w:vAlign w:val="center"/>
          </w:tcPr>
          <w:p w14:paraId="5AF09359">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5A519213">
            <w:pPr>
              <w:pStyle w:val="38"/>
              <w:spacing w:after="0" w:line="240" w:lineRule="auto"/>
              <w:jc w:val="right"/>
              <w:rPr>
                <w:rFonts w:ascii="Arial" w:hAnsi="Arial" w:cs="Arial"/>
                <w:b/>
                <w:bCs/>
              </w:rPr>
            </w:pPr>
          </w:p>
        </w:tc>
      </w:tr>
    </w:tbl>
    <w:p w14:paraId="47BC69CC">
      <w:pPr>
        <w:pStyle w:val="19"/>
        <w:widowControl/>
        <w:tabs>
          <w:tab w:val="left" w:pos="426"/>
        </w:tabs>
        <w:autoSpaceDE/>
        <w:autoSpaceDN/>
        <w:spacing w:before="120" w:after="120" w:line="276" w:lineRule="auto"/>
        <w:ind w:left="0"/>
        <w:jc w:val="both"/>
        <w:rPr>
          <w:rFonts w:ascii="Arial" w:hAnsi="Arial" w:cs="Arial"/>
          <w:iCs/>
        </w:rPr>
      </w:pPr>
    </w:p>
    <w:p w14:paraId="320F426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0E72776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85A8C8B">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4CE953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671444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391733F1">
      <w:pPr>
        <w:pStyle w:val="19"/>
        <w:widowControl/>
        <w:tabs>
          <w:tab w:val="left" w:pos="426"/>
        </w:tabs>
        <w:autoSpaceDE/>
        <w:autoSpaceDN/>
        <w:spacing w:before="120" w:after="120" w:line="276" w:lineRule="auto"/>
        <w:ind w:left="862"/>
        <w:jc w:val="both"/>
        <w:rPr>
          <w:rFonts w:ascii="Arial" w:hAnsi="Arial" w:cs="Arial"/>
          <w:bCs/>
        </w:rPr>
      </w:pPr>
    </w:p>
    <w:p w14:paraId="30E3A394">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68894C8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14:paraId="4238567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14:paraId="27B1858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14:paraId="605D55A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14:paraId="77ABC2E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14:paraId="3B7C54EB">
      <w:pPr>
        <w:pStyle w:val="19"/>
        <w:widowControl/>
        <w:tabs>
          <w:tab w:val="left" w:pos="426"/>
        </w:tabs>
        <w:autoSpaceDE/>
        <w:autoSpaceDN/>
        <w:spacing w:before="120" w:after="120" w:line="276" w:lineRule="auto"/>
        <w:ind w:left="0"/>
        <w:jc w:val="both"/>
        <w:rPr>
          <w:rFonts w:ascii="Arial" w:hAnsi="Arial" w:cs="Arial"/>
          <w:bCs/>
          <w:iCs/>
          <w:color w:val="FF0000"/>
        </w:rPr>
      </w:pPr>
    </w:p>
    <w:p w14:paraId="0FC100C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57172C7F">
      <w:pPr>
        <w:pStyle w:val="19"/>
        <w:widowControl/>
        <w:numPr>
          <w:ilvl w:val="1"/>
          <w:numId w:val="3"/>
        </w:numPr>
        <w:tabs>
          <w:tab w:val="left" w:pos="426"/>
        </w:tabs>
        <w:autoSpaceDE/>
        <w:autoSpaceDN/>
        <w:spacing w:before="120" w:after="120" w:line="276" w:lineRule="auto"/>
        <w:ind w:left="0" w:firstLine="0"/>
        <w:jc w:val="both"/>
        <w:rPr>
          <w:rFonts w:hint="default" w:ascii="Arial" w:hAnsi="Arial" w:cs="Arial"/>
          <w:b/>
          <w:bCs w:val="0"/>
          <w:iCs/>
          <w:u w:val="single"/>
          <w:lang w:val="pt-BR"/>
        </w:rPr>
      </w:pPr>
      <w:r>
        <w:rPr>
          <w:rFonts w:ascii="Arial" w:hAnsi="Arial" w:cs="Arial"/>
          <w:b/>
          <w:bCs w:val="0"/>
          <w:iCs/>
          <w:u w:val="single"/>
        </w:rPr>
        <w:t>MODELO DE EXECUÇÃO DO OBJETO (art. 6º, XXIII, alínea “e” e 40, §1º, inciso II, da Lei nº 14.133/2021)</w:t>
      </w:r>
      <w:r>
        <w:rPr>
          <w:rFonts w:hint="default" w:ascii="Arial" w:hAnsi="Arial" w:cs="Arial"/>
          <w:b/>
          <w:bCs w:val="0"/>
          <w:iCs/>
          <w:u w:val="single"/>
          <w:lang w:val="pt-BR"/>
        </w:rPr>
        <w:t>:</w:t>
      </w:r>
    </w:p>
    <w:p w14:paraId="6A5D0A4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3.1.1 </w:t>
      </w:r>
      <w:r>
        <w:rPr>
          <w:rFonts w:ascii="Arial" w:hAnsi="Arial" w:cs="Arial"/>
          <w:bCs/>
          <w:iCs/>
        </w:rPr>
        <w:t>O fornecimento dos materiais de higiene pessoal será realizado de forma parcelada, conforme as necessidades e conveniências da CONTRATANTE, observando-se as quantidades adquiridas e respei - tando os limites estabelecidos na Ata de Registro de Preços.</w:t>
      </w:r>
    </w:p>
    <w:p w14:paraId="06972AAF">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3.1.2 </w:t>
      </w:r>
      <w:r>
        <w:rPr>
          <w:rFonts w:ascii="Arial" w:hAnsi="Arial" w:cs="Arial"/>
          <w:bCs/>
          <w:iCs/>
        </w:rPr>
        <w:t>O início do fornecimento será imediato, contado a partir do primeiro dia útil subsequente ao re- cebimento da Nota de Empenho, Autorização de Fornecimento ou documento equivalente emitido pela Administração.</w:t>
      </w:r>
    </w:p>
    <w:p w14:paraId="1DA1CEBA">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3.1.3 </w:t>
      </w:r>
      <w:r>
        <w:rPr>
          <w:rFonts w:ascii="Arial" w:hAnsi="Arial" w:cs="Arial"/>
          <w:bCs/>
          <w:iCs/>
        </w:rPr>
        <w:t>A entrega das quantidades adquiridas será realizada de acordo com a demanda real e programa - da pela CONTRATANTE, podendo os itens ser requisitados de forma integral ou fracionada ao longo da vigência contratual, mediante solicitações formais.</w:t>
      </w:r>
    </w:p>
    <w:p w14:paraId="28F94C3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3.1.4 </w:t>
      </w:r>
      <w:r>
        <w:rPr>
          <w:rFonts w:ascii="Arial" w:hAnsi="Arial" w:cs="Arial"/>
          <w:bCs/>
          <w:iCs/>
        </w:rPr>
        <w:t>Caso não seja possível atender à solicitação no prazo estipulado, a CONTRATADA deverá comuni - car imediatamente à Administração as razões do impedimento, para análise de eventual prorrogação, ressalvadas hipóteses de caso fortuito ou força maior.</w:t>
      </w:r>
    </w:p>
    <w:p w14:paraId="5807419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3.1.5 </w:t>
      </w:r>
      <w:r>
        <w:rPr>
          <w:rFonts w:ascii="Arial" w:hAnsi="Arial" w:cs="Arial"/>
          <w:bCs/>
          <w:iCs/>
        </w:rPr>
        <w:t>Os   materiais   deverão   ser   entregues   nos   seguintes   endereços:</w:t>
      </w:r>
    </w:p>
    <w:p w14:paraId="48D6BD34">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 </w:t>
      </w:r>
      <w:r>
        <w:rPr>
          <w:rFonts w:ascii="Arial" w:hAnsi="Arial" w:cs="Arial"/>
          <w:bCs/>
          <w:iCs/>
        </w:rPr>
        <w:t>Centro Pop – Alameda Visconde de Taunay, nº 278, Parque São Clemente, Olaria – Nova Fribur- go/RJ;</w:t>
      </w:r>
      <w:r>
        <w:rPr>
          <w:rFonts w:ascii="Arial" w:hAnsi="Arial" w:cs="Arial"/>
          <w:bCs/>
          <w:iCs/>
        </w:rPr>
        <w:tab/>
      </w:r>
      <w:r>
        <w:rPr>
          <w:rFonts w:ascii="Arial" w:hAnsi="Arial" w:cs="Arial"/>
          <w:bCs/>
          <w:iCs/>
        </w:rPr>
        <w:tab/>
      </w:r>
      <w:r>
        <w:rPr>
          <w:rFonts w:ascii="Arial" w:hAnsi="Arial" w:cs="Arial"/>
          <w:bCs/>
          <w:iCs/>
        </w:rPr>
        <w:t>de</w:t>
      </w:r>
      <w:r>
        <w:rPr>
          <w:rFonts w:ascii="Arial" w:hAnsi="Arial" w:cs="Arial"/>
          <w:bCs/>
          <w:iCs/>
        </w:rPr>
        <w:tab/>
      </w:r>
      <w:r>
        <w:rPr>
          <w:rFonts w:ascii="Arial" w:hAnsi="Arial" w:cs="Arial"/>
          <w:bCs/>
          <w:iCs/>
        </w:rPr>
        <w:t>segunda</w:t>
      </w:r>
      <w:r>
        <w:rPr>
          <w:rFonts w:ascii="Arial" w:hAnsi="Arial" w:cs="Arial"/>
          <w:bCs/>
          <w:iCs/>
        </w:rPr>
        <w:tab/>
      </w:r>
      <w:r>
        <w:rPr>
          <w:rFonts w:ascii="Arial" w:hAnsi="Arial" w:cs="Arial"/>
          <w:bCs/>
          <w:iCs/>
        </w:rPr>
        <w:t>a</w:t>
      </w:r>
      <w:r>
        <w:rPr>
          <w:rFonts w:ascii="Arial" w:hAnsi="Arial" w:cs="Arial"/>
          <w:bCs/>
          <w:iCs/>
        </w:rPr>
        <w:tab/>
      </w:r>
      <w:r>
        <w:rPr>
          <w:rFonts w:ascii="Arial" w:hAnsi="Arial" w:cs="Arial"/>
          <w:bCs/>
          <w:iCs/>
        </w:rPr>
        <w:t>sexta-feira,</w:t>
      </w:r>
      <w:r>
        <w:rPr>
          <w:rFonts w:ascii="Arial" w:hAnsi="Arial" w:cs="Arial"/>
          <w:bCs/>
          <w:iCs/>
        </w:rPr>
        <w:tab/>
      </w:r>
      <w:r>
        <w:rPr>
          <w:rFonts w:ascii="Arial" w:hAnsi="Arial" w:cs="Arial"/>
          <w:bCs/>
          <w:iCs/>
        </w:rPr>
        <w:t>das</w:t>
      </w:r>
      <w:r>
        <w:rPr>
          <w:rFonts w:ascii="Arial" w:hAnsi="Arial" w:cs="Arial"/>
          <w:bCs/>
          <w:iCs/>
        </w:rPr>
        <w:tab/>
      </w:r>
      <w:r>
        <w:rPr>
          <w:rFonts w:ascii="Arial" w:hAnsi="Arial" w:cs="Arial"/>
          <w:bCs/>
          <w:iCs/>
        </w:rPr>
        <w:t>9h</w:t>
      </w:r>
      <w:r>
        <w:rPr>
          <w:rFonts w:ascii="Arial" w:hAnsi="Arial" w:cs="Arial"/>
          <w:bCs/>
          <w:iCs/>
        </w:rPr>
        <w:tab/>
      </w:r>
      <w:r>
        <w:rPr>
          <w:rFonts w:ascii="Arial" w:hAnsi="Arial" w:cs="Arial"/>
          <w:bCs/>
          <w:iCs/>
        </w:rPr>
        <w:t>às</w:t>
      </w:r>
      <w:r>
        <w:rPr>
          <w:rFonts w:ascii="Arial" w:hAnsi="Arial" w:cs="Arial"/>
          <w:bCs/>
          <w:iCs/>
        </w:rPr>
        <w:tab/>
      </w:r>
      <w:r>
        <w:rPr>
          <w:rFonts w:ascii="Arial" w:hAnsi="Arial" w:cs="Arial"/>
          <w:bCs/>
          <w:iCs/>
        </w:rPr>
        <w:t>16h.</w:t>
      </w:r>
    </w:p>
    <w:p w14:paraId="3390D48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 </w:t>
      </w:r>
      <w:r>
        <w:rPr>
          <w:rFonts w:ascii="Arial" w:hAnsi="Arial" w:cs="Arial"/>
          <w:bCs/>
          <w:iCs/>
        </w:rPr>
        <w:t>CAIVS – Casa de Acolhimento Institucional Vila Sorriso – Rua Itajubá, S/N, Vargem Grande, Cô - nego   –   Nova   Friburgo/RJ;   de   segunda   a   sexta-feira,   das   9h   às   16h.</w:t>
      </w:r>
    </w:p>
    <w:p w14:paraId="2FB0632D">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 </w:t>
      </w:r>
      <w:r>
        <w:rPr>
          <w:rFonts w:ascii="Arial" w:hAnsi="Arial" w:cs="Arial"/>
          <w:bCs/>
          <w:iCs/>
        </w:rPr>
        <w:t>Outros locais indicados formalmente pela CONTRATANTE, desde que situados no município de Nova Friburgo/RJ.</w:t>
      </w:r>
    </w:p>
    <w:p w14:paraId="69A45F29">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3.1.6 </w:t>
      </w:r>
      <w:r>
        <w:rPr>
          <w:rFonts w:ascii="Arial" w:hAnsi="Arial" w:cs="Arial"/>
          <w:bCs/>
          <w:iCs/>
        </w:rPr>
        <w:t>Os materiais serão recebidos provisoriamente, de forma sumária, no ato da entrega, pelo servi - dor designado para acompanhamento e fiscalização do contrato, para posterior verificação da confor - midade com as especificações técnicas constantes neste Termo de Referência e na proposta.</w:t>
      </w:r>
    </w:p>
    <w:p w14:paraId="555368E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3.1.7 </w:t>
      </w:r>
      <w:r>
        <w:rPr>
          <w:rFonts w:ascii="Arial" w:hAnsi="Arial" w:cs="Arial"/>
          <w:bCs/>
          <w:iCs/>
        </w:rPr>
        <w:t>Os materiais poderão ser rejeitados, no todo ou em parte, quando não atenderem às especifica - ções exigidas. Nesse caso, a CONTRATADA deverá providenciar a substituição imediata, no prazo máximo de 2 (dois) dias úteis contados da notificação, sem ônus adicional para a Administração.</w:t>
      </w:r>
    </w:p>
    <w:p w14:paraId="336B1911">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3.1.8 </w:t>
      </w:r>
      <w:r>
        <w:rPr>
          <w:rFonts w:ascii="Arial" w:hAnsi="Arial" w:cs="Arial"/>
          <w:bCs/>
          <w:iCs/>
        </w:rPr>
        <w:t>O recebimento definitivo ocorrerá em até 5 (cinco) dias úteis após o recebimento provisório, me- diante conferência da conformidade dos materiais quanto à quantidade, qualidade e especificações, sendo formalizado por meio de termo de recebimento definitivo.</w:t>
      </w:r>
    </w:p>
    <w:p w14:paraId="459866CC">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3.1.9 </w:t>
      </w:r>
      <w:r>
        <w:rPr>
          <w:rFonts w:ascii="Arial" w:hAnsi="Arial" w:cs="Arial"/>
          <w:bCs/>
          <w:iCs/>
        </w:rPr>
        <w:t>Caso a Administração não se manifeste dentro do prazo estipulado, considerar-se-á automati- camente efetivado o recebimento definitivo no último dia do prazo, salvo manifestação formal em sentido contrário.</w:t>
      </w:r>
    </w:p>
    <w:p w14:paraId="145FCA8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3.1.10 </w:t>
      </w:r>
      <w:r>
        <w:rPr>
          <w:rFonts w:ascii="Arial" w:hAnsi="Arial" w:cs="Arial"/>
          <w:bCs/>
          <w:iCs/>
        </w:rPr>
        <w:t>O recebimento provisório ou definitivo não exime a CONTRATADA da responsabilidade por vícios ocultos, defeitos de fabricação, não conformidade com os padrões exigidos ou quaisquer danos pos - teriores à entrega, respondendo civil, administrativa e tecnicamente pela integridade dos materiais fornecidos.</w:t>
      </w:r>
    </w:p>
    <w:p w14:paraId="369A0E50">
      <w:pPr>
        <w:pStyle w:val="3"/>
        <w:numPr>
          <w:ilvl w:val="0"/>
          <w:numId w:val="0"/>
        </w:numPr>
        <w:tabs>
          <w:tab w:val="left" w:pos="1089"/>
        </w:tabs>
        <w:spacing w:before="81" w:after="0" w:line="360" w:lineRule="auto"/>
        <w:ind w:right="0" w:rightChars="0"/>
        <w:jc w:val="both"/>
        <w:rPr>
          <w:rFonts w:hint="default" w:ascii="Arial" w:hAnsi="Arial" w:eastAsia="Verdana" w:cs="Arial"/>
          <w:b/>
          <w:bCs w:val="0"/>
          <w:iCs/>
          <w:sz w:val="22"/>
          <w:szCs w:val="22"/>
          <w:u w:val="single"/>
          <w:lang w:val="pt-BR" w:eastAsia="en-US" w:bidi="ar-SA"/>
        </w:rPr>
      </w:pPr>
      <w:r>
        <w:rPr>
          <w:rFonts w:hint="default" w:ascii="Arial" w:hAnsi="Arial" w:eastAsia="Verdana" w:cs="Arial"/>
          <w:b/>
          <w:bCs w:val="0"/>
          <w:iCs/>
          <w:sz w:val="22"/>
          <w:szCs w:val="22"/>
          <w:u w:val="single"/>
          <w:lang w:val="pt-BR" w:eastAsia="en-US" w:bidi="ar-SA"/>
        </w:rPr>
        <w:t xml:space="preserve">3.2 </w:t>
      </w:r>
      <w:r>
        <w:rPr>
          <w:rFonts w:ascii="Arial" w:hAnsi="Arial" w:eastAsia="Verdana" w:cs="Arial"/>
          <w:b/>
          <w:bCs w:val="0"/>
          <w:iCs/>
          <w:sz w:val="22"/>
          <w:szCs w:val="22"/>
          <w:u w:val="single"/>
          <w:lang w:val="pt-PT" w:eastAsia="en-US" w:bidi="ar-SA"/>
        </w:rPr>
        <w:t>MODELO DE GESTÃO DO CONTRATO (art. 6º, XXIII, alínea ‘f’ da Lei nº 14.133/2021)</w:t>
      </w:r>
      <w:r>
        <w:rPr>
          <w:rFonts w:hint="default" w:ascii="Arial" w:hAnsi="Arial" w:eastAsia="Verdana" w:cs="Arial"/>
          <w:b/>
          <w:bCs w:val="0"/>
          <w:iCs/>
          <w:sz w:val="22"/>
          <w:szCs w:val="22"/>
          <w:u w:val="single"/>
          <w:lang w:val="pt-BR" w:eastAsia="en-US" w:bidi="ar-SA"/>
        </w:rPr>
        <w:t>:</w:t>
      </w:r>
    </w:p>
    <w:p w14:paraId="5B6923EF">
      <w:pPr>
        <w:pStyle w:val="19"/>
        <w:numPr>
          <w:ilvl w:val="0"/>
          <w:numId w:val="0"/>
        </w:numPr>
        <w:tabs>
          <w:tab w:val="left" w:pos="761"/>
        </w:tabs>
        <w:spacing w:before="40"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 </w:t>
      </w:r>
      <w:r>
        <w:rPr>
          <w:rFonts w:ascii="Arial" w:hAnsi="Arial" w:eastAsia="Verdana" w:cs="Arial"/>
          <w:b w:val="0"/>
          <w:bCs/>
          <w:iCs/>
          <w:sz w:val="22"/>
          <w:szCs w:val="22"/>
          <w:u w:val="none"/>
          <w:lang w:val="pt-PT" w:eastAsia="en-US" w:bidi="ar-SA"/>
        </w:rPr>
        <w:t>O contrato deverá ser executado fielmente pelas partes, de acordo com as cláusulas avençadas e as normas da Lei nº 14.133/2021, sendo cada parte responsável pelas consequências de sua inexecução total ou parcial (art. 115, caput).</w:t>
      </w:r>
    </w:p>
    <w:p w14:paraId="5164B3DE">
      <w:pPr>
        <w:pStyle w:val="19"/>
        <w:numPr>
          <w:ilvl w:val="0"/>
          <w:numId w:val="0"/>
        </w:numPr>
        <w:tabs>
          <w:tab w:val="left" w:pos="763"/>
        </w:tabs>
        <w:spacing w:before="101"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3.2.2 </w:t>
      </w:r>
      <w:r>
        <w:rPr>
          <w:rFonts w:ascii="Arial" w:hAnsi="Arial" w:eastAsia="Verdana" w:cs="Arial"/>
          <w:b w:val="0"/>
          <w:bCs/>
          <w:iCs/>
          <w:sz w:val="22"/>
          <w:szCs w:val="22"/>
          <w:u w:val="none"/>
          <w:lang w:val="pt-PT" w:eastAsia="en-US" w:bidi="ar-SA"/>
        </w:rPr>
        <w:t>Em caso de impedimento, ordem de paralisação ou suspensão do contrato, os prazos de entrega serão automaticamente prorrogados pelo período correspondente, devendo tais circunstâncias ser registradas por apostila (art. 115, §5º).</w:t>
      </w:r>
    </w:p>
    <w:p w14:paraId="12926FE2">
      <w:pPr>
        <w:pStyle w:val="19"/>
        <w:numPr>
          <w:ilvl w:val="0"/>
          <w:numId w:val="0"/>
        </w:numPr>
        <w:tabs>
          <w:tab w:val="left" w:pos="757"/>
          <w:tab w:val="left" w:pos="3608"/>
          <w:tab w:val="left" w:pos="6232"/>
          <w:tab w:val="left" w:pos="8869"/>
        </w:tabs>
        <w:spacing w:before="201"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3.2.3 </w:t>
      </w:r>
      <w:r>
        <w:rPr>
          <w:rFonts w:ascii="Arial" w:hAnsi="Arial" w:eastAsia="Verdana" w:cs="Arial"/>
          <w:b w:val="0"/>
          <w:bCs/>
          <w:iCs/>
          <w:sz w:val="22"/>
          <w:szCs w:val="22"/>
          <w:u w:val="none"/>
          <w:lang w:val="pt-PT" w:eastAsia="en-US" w:bidi="ar-SA"/>
        </w:rPr>
        <w:t>A execução contratual será acompanhada e fiscalizada pelo(s) fiscal(is) do contrato ou respectivos substitutos</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(art.</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117,</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caput).</w:t>
      </w:r>
    </w:p>
    <w:p w14:paraId="0E16543F">
      <w:pPr>
        <w:pStyle w:val="19"/>
        <w:numPr>
          <w:ilvl w:val="0"/>
          <w:numId w:val="0"/>
        </w:numPr>
        <w:tabs>
          <w:tab w:val="left" w:pos="934"/>
        </w:tabs>
        <w:spacing w:before="0"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3.2.4 </w:t>
      </w:r>
      <w:r>
        <w:rPr>
          <w:rFonts w:ascii="Arial" w:hAnsi="Arial" w:eastAsia="Verdana" w:cs="Arial"/>
          <w:b w:val="0"/>
          <w:bCs/>
          <w:iCs/>
          <w:sz w:val="22"/>
          <w:szCs w:val="22"/>
          <w:u w:val="none"/>
          <w:lang w:val="pt-PT" w:eastAsia="en-US" w:bidi="ar-SA"/>
        </w:rPr>
        <w:t>O fiscal do contrato registrará todas as ocorrências relacionadas ao fornecimento, determinan- do providências para regularização de faltas, inconformidades ou defeitos observados (art. 117, §1º).</w:t>
      </w:r>
    </w:p>
    <w:p w14:paraId="144B4646">
      <w:pPr>
        <w:pStyle w:val="19"/>
        <w:numPr>
          <w:ilvl w:val="0"/>
          <w:numId w:val="0"/>
        </w:numPr>
        <w:tabs>
          <w:tab w:val="left" w:pos="1777"/>
          <w:tab w:val="left" w:pos="2966"/>
          <w:tab w:val="left" w:pos="4237"/>
          <w:tab w:val="left" w:pos="6359"/>
          <w:tab w:val="left" w:pos="7702"/>
        </w:tabs>
        <w:spacing w:before="0"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3.2.5 </w:t>
      </w:r>
      <w:r>
        <w:rPr>
          <w:rFonts w:ascii="Arial" w:hAnsi="Arial" w:eastAsia="Verdana" w:cs="Arial"/>
          <w:b w:val="0"/>
          <w:bCs/>
          <w:iCs/>
          <w:sz w:val="22"/>
          <w:szCs w:val="22"/>
          <w:u w:val="none"/>
          <w:lang w:val="pt-PT" w:eastAsia="en-US" w:bidi="ar-SA"/>
        </w:rPr>
        <w:t>O fiscal informará aos superiores quaisquer situações que demandem providência ou decisão além</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de</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sua</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competência</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(art.117,§2º).</w:t>
      </w:r>
    </w:p>
    <w:p w14:paraId="6AC00671">
      <w:pPr>
        <w:pStyle w:val="19"/>
        <w:numPr>
          <w:ilvl w:val="0"/>
          <w:numId w:val="0"/>
        </w:numPr>
        <w:tabs>
          <w:tab w:val="left" w:pos="953"/>
        </w:tabs>
        <w:spacing w:before="1"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3.2.6 </w:t>
      </w:r>
      <w:r>
        <w:rPr>
          <w:rFonts w:ascii="Arial" w:hAnsi="Arial" w:eastAsia="Verdana" w:cs="Arial"/>
          <w:b w:val="0"/>
          <w:bCs/>
          <w:iCs/>
          <w:sz w:val="22"/>
          <w:szCs w:val="22"/>
          <w:u w:val="none"/>
          <w:lang w:val="pt-PT" w:eastAsia="en-US" w:bidi="ar-SA"/>
        </w:rPr>
        <w:t>A Contratada deverá reparar, substituir ou complementar, às suas expensas, no todo ou em parte, os materiais entregues com vícios, defeitos ou não conformidades (art. 119).</w:t>
      </w:r>
    </w:p>
    <w:p w14:paraId="7DF7A7BF">
      <w:pPr>
        <w:pStyle w:val="19"/>
        <w:numPr>
          <w:ilvl w:val="0"/>
          <w:numId w:val="0"/>
        </w:numPr>
        <w:tabs>
          <w:tab w:val="left" w:pos="763"/>
        </w:tabs>
        <w:spacing w:before="200"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3.2.7 </w:t>
      </w:r>
      <w:r>
        <w:rPr>
          <w:rFonts w:ascii="Arial" w:hAnsi="Arial" w:eastAsia="Verdana" w:cs="Arial"/>
          <w:b w:val="0"/>
          <w:bCs/>
          <w:iCs/>
          <w:sz w:val="22"/>
          <w:szCs w:val="22"/>
          <w:u w:val="none"/>
          <w:lang w:val="pt-PT" w:eastAsia="en-US" w:bidi="ar-SA"/>
        </w:rPr>
        <w:t>A Contratada será responsável pelos danos causados diretamente à Administração ou a terceiros em razão do fornecimento de materiais, não se excluindo ou reduzindo tal responsabilidade em virtu- de da fiscalização exercida pelo Contratante (art. 120).</w:t>
      </w:r>
    </w:p>
    <w:p w14:paraId="664DB682">
      <w:pPr>
        <w:pStyle w:val="19"/>
        <w:numPr>
          <w:ilvl w:val="0"/>
          <w:numId w:val="0"/>
        </w:numPr>
        <w:tabs>
          <w:tab w:val="left" w:pos="775"/>
          <w:tab w:val="left" w:pos="1850"/>
          <w:tab w:val="left" w:pos="3724"/>
          <w:tab w:val="left" w:pos="4679"/>
          <w:tab w:val="left" w:pos="6629"/>
          <w:tab w:val="left" w:pos="7742"/>
          <w:tab w:val="left" w:pos="8865"/>
        </w:tabs>
        <w:spacing w:before="201"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3.2.8 </w:t>
      </w:r>
      <w:r>
        <w:rPr>
          <w:rFonts w:ascii="Arial" w:hAnsi="Arial" w:eastAsia="Verdana" w:cs="Arial"/>
          <w:b w:val="0"/>
          <w:bCs/>
          <w:iCs/>
          <w:sz w:val="22"/>
          <w:szCs w:val="22"/>
          <w:u w:val="none"/>
          <w:lang w:val="pt-PT" w:eastAsia="en-US" w:bidi="ar-SA"/>
        </w:rPr>
        <w:t>A Contratada será a única responsável pelos encargos trabalhistas, previdenciários, fiscais e co- merciais</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relacionados</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ao</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fornecimento</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(art.</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121,</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caput).</w:t>
      </w:r>
    </w:p>
    <w:p w14:paraId="1A8887EB">
      <w:pPr>
        <w:pStyle w:val="19"/>
        <w:numPr>
          <w:ilvl w:val="0"/>
          <w:numId w:val="0"/>
        </w:numPr>
        <w:tabs>
          <w:tab w:val="left" w:pos="950"/>
        </w:tabs>
        <w:spacing w:before="0"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3.2.9 </w:t>
      </w:r>
      <w:r>
        <w:rPr>
          <w:rFonts w:ascii="Arial" w:hAnsi="Arial" w:eastAsia="Verdana" w:cs="Arial"/>
          <w:b w:val="0"/>
          <w:bCs/>
          <w:iCs/>
          <w:sz w:val="22"/>
          <w:szCs w:val="22"/>
          <w:u w:val="none"/>
          <w:lang w:val="pt-PT" w:eastAsia="en-US" w:bidi="ar-SA"/>
        </w:rPr>
        <w:t>A inadimplência da Contratada quanto a esses encargos não transfere à Administração qual- quer responsabilidade, tampouco poderá onerar o objeto do contrato (art. 121, §1º).</w:t>
      </w:r>
    </w:p>
    <w:p w14:paraId="5DAE0CAE">
      <w:pPr>
        <w:pStyle w:val="19"/>
        <w:numPr>
          <w:ilvl w:val="0"/>
          <w:numId w:val="0"/>
        </w:numPr>
        <w:tabs>
          <w:tab w:val="left" w:pos="773"/>
        </w:tabs>
        <w:spacing w:before="201"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3.2.10 </w:t>
      </w:r>
      <w:r>
        <w:rPr>
          <w:rFonts w:ascii="Arial" w:hAnsi="Arial" w:eastAsia="Verdana" w:cs="Arial"/>
          <w:b w:val="0"/>
          <w:bCs/>
          <w:iCs/>
          <w:sz w:val="22"/>
          <w:szCs w:val="22"/>
          <w:u w:val="none"/>
          <w:lang w:val="pt-PT" w:eastAsia="en-US" w:bidi="ar-SA"/>
        </w:rPr>
        <w:t>As comunicações entre o órgão/entidade e a Contratada deverão ser realizadas por escrito, po- dendo excepcionalmente ser admitido o uso de meio eletrônico (IN nº 5/2017, art. 44, §2º).</w:t>
      </w:r>
    </w:p>
    <w:p w14:paraId="32022814">
      <w:pPr>
        <w:pStyle w:val="19"/>
        <w:numPr>
          <w:ilvl w:val="0"/>
          <w:numId w:val="0"/>
        </w:numPr>
        <w:tabs>
          <w:tab w:val="left" w:pos="781"/>
        </w:tabs>
        <w:spacing w:before="201"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3.2.11 </w:t>
      </w:r>
      <w:r>
        <w:rPr>
          <w:rFonts w:ascii="Arial" w:hAnsi="Arial" w:eastAsia="Verdana" w:cs="Arial"/>
          <w:b w:val="0"/>
          <w:bCs/>
          <w:iCs/>
          <w:sz w:val="22"/>
          <w:szCs w:val="22"/>
          <w:u w:val="none"/>
          <w:lang w:val="pt-PT" w:eastAsia="en-US" w:bidi="ar-SA"/>
        </w:rPr>
        <w:t>O órgão poderá convocar representante da Contratada para tratar de providências que exijam adoção imediata (IN nº 5/2017, art. 44, §3º).</w:t>
      </w:r>
    </w:p>
    <w:p w14:paraId="73D6036A">
      <w:pPr>
        <w:pStyle w:val="19"/>
        <w:numPr>
          <w:ilvl w:val="0"/>
          <w:numId w:val="0"/>
        </w:numPr>
        <w:tabs>
          <w:tab w:val="left" w:pos="757"/>
        </w:tabs>
        <w:spacing w:before="201"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3.2.12 </w:t>
      </w:r>
      <w:r>
        <w:rPr>
          <w:rFonts w:ascii="Arial" w:hAnsi="Arial" w:eastAsia="Verdana" w:cs="Arial"/>
          <w:b w:val="0"/>
          <w:bCs/>
          <w:iCs/>
          <w:sz w:val="22"/>
          <w:szCs w:val="22"/>
          <w:u w:val="none"/>
          <w:lang w:val="pt-PT" w:eastAsia="en-US" w:bidi="ar-SA"/>
        </w:rPr>
        <w:t>Após a assinatura do contrato, o órgão realizará reunião inicial com a Contratada, apresentando o plano de fiscalização, contendo informações sobre obrigações contratuais, procedimentos de fiscali - zação, plano de entrega, critérios de aferição da conformidade dos materiais e possíveis sanções (IN nº 5/2017, art. 44, §1º).</w:t>
      </w:r>
    </w:p>
    <w:p w14:paraId="48C7D4F9">
      <w:pPr>
        <w:pStyle w:val="19"/>
        <w:numPr>
          <w:ilvl w:val="0"/>
          <w:numId w:val="0"/>
        </w:numPr>
        <w:tabs>
          <w:tab w:val="left" w:pos="757"/>
        </w:tabs>
        <w:spacing w:before="202"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3.2.13 </w:t>
      </w:r>
      <w:r>
        <w:rPr>
          <w:rFonts w:ascii="Arial" w:hAnsi="Arial" w:eastAsia="Verdana" w:cs="Arial"/>
          <w:b w:val="0"/>
          <w:bCs/>
          <w:iCs/>
          <w:sz w:val="22"/>
          <w:szCs w:val="22"/>
          <w:u w:val="none"/>
          <w:lang w:val="pt-PT" w:eastAsia="en-US" w:bidi="ar-SA"/>
        </w:rPr>
        <w:t>Antes do pagamento da nota fiscal, será verificada a regularidade da Contratada junto ao SICAF.</w:t>
      </w:r>
    </w:p>
    <w:p w14:paraId="2D5379EE">
      <w:pPr>
        <w:pStyle w:val="19"/>
        <w:numPr>
          <w:ilvl w:val="0"/>
          <w:numId w:val="0"/>
        </w:numPr>
        <w:tabs>
          <w:tab w:val="left" w:pos="868"/>
        </w:tabs>
        <w:spacing w:before="199"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3.2.14 </w:t>
      </w:r>
      <w:r>
        <w:rPr>
          <w:rFonts w:ascii="Arial" w:hAnsi="Arial" w:eastAsia="Verdana" w:cs="Arial"/>
          <w:b w:val="0"/>
          <w:bCs/>
          <w:iCs/>
          <w:sz w:val="22"/>
          <w:szCs w:val="22"/>
          <w:u w:val="none"/>
          <w:lang w:val="pt-PT" w:eastAsia="en-US" w:bidi="ar-SA"/>
        </w:rPr>
        <w:t>Caso não constem registros regulares no SICAF, serão exigidos: Certidão Negativa de Débitos Tri- butários Federais e Dívida Ativa da União, Certificado de Regularidade do FGTS (CRF) e Certidão Nega- tiva de Débitos Trabalhistas (CNDT).</w:t>
      </w:r>
    </w:p>
    <w:p w14:paraId="3CB1556B">
      <w:pPr>
        <w:pStyle w:val="19"/>
        <w:numPr>
          <w:ilvl w:val="0"/>
          <w:numId w:val="0"/>
        </w:numPr>
        <w:tabs>
          <w:tab w:val="left" w:pos="1246"/>
        </w:tabs>
        <w:spacing w:before="202"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3.2.15 </w:t>
      </w:r>
      <w:r>
        <w:rPr>
          <w:rFonts w:ascii="Arial" w:hAnsi="Arial" w:eastAsia="Verdana" w:cs="Arial"/>
          <w:b w:val="0"/>
          <w:bCs/>
          <w:iCs/>
          <w:sz w:val="22"/>
          <w:szCs w:val="22"/>
          <w:u w:val="none"/>
          <w:lang w:val="pt-PT" w:eastAsia="en-US" w:bidi="ar-SA"/>
        </w:rPr>
        <w:t>A   fiscalização   do   fornecimento   obedecerá   às   seguintes   rotinas:</w:t>
      </w:r>
    </w:p>
    <w:p w14:paraId="20B13207">
      <w:pPr>
        <w:pStyle w:val="19"/>
        <w:numPr>
          <w:ilvl w:val="0"/>
          <w:numId w:val="0"/>
        </w:numPr>
        <w:tabs>
          <w:tab w:val="left" w:pos="1041"/>
          <w:tab w:val="left" w:pos="3007"/>
          <w:tab w:val="left" w:pos="5676"/>
          <w:tab w:val="left" w:pos="8299"/>
        </w:tabs>
        <w:spacing w:before="0"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3.2.15.1 </w:t>
      </w:r>
      <w:r>
        <w:rPr>
          <w:rFonts w:ascii="Arial" w:hAnsi="Arial" w:eastAsia="Verdana" w:cs="Arial"/>
          <w:b w:val="0"/>
          <w:bCs/>
          <w:iCs/>
          <w:sz w:val="22"/>
          <w:szCs w:val="22"/>
          <w:u w:val="none"/>
          <w:lang w:val="pt-PT" w:eastAsia="en-US" w:bidi="ar-SA"/>
        </w:rPr>
        <w:t>O acompanhamento, gestão e fiscalização serão exercidos por representantes do Contratante, cabendo-lhes resolver dúvidas e relatar ocorrências à Administração, conforme capítulo VI, título III, da</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Lei</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nº</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14.133/2021.</w:t>
      </w:r>
    </w:p>
    <w:p w14:paraId="6588712C">
      <w:pPr>
        <w:pStyle w:val="19"/>
        <w:numPr>
          <w:ilvl w:val="0"/>
          <w:numId w:val="0"/>
        </w:numPr>
        <w:tabs>
          <w:tab w:val="left" w:pos="1055"/>
        </w:tabs>
        <w:spacing w:before="0"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3.2.15.2 </w:t>
      </w:r>
      <w:r>
        <w:rPr>
          <w:rFonts w:ascii="Arial" w:hAnsi="Arial" w:eastAsia="Verdana" w:cs="Arial"/>
          <w:b w:val="0"/>
          <w:bCs/>
          <w:iCs/>
          <w:sz w:val="22"/>
          <w:szCs w:val="22"/>
          <w:u w:val="none"/>
          <w:lang w:val="pt-PT" w:eastAsia="en-US" w:bidi="ar-SA"/>
        </w:rPr>
        <w:t>Antes do início da execução, serão formalmente designados gestor e fiscal do contrato, bem</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como</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seus</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substitutos.</w:t>
      </w:r>
    </w:p>
    <w:p w14:paraId="4FD85BE4">
      <w:pPr>
        <w:pStyle w:val="19"/>
        <w:numPr>
          <w:ilvl w:val="0"/>
          <w:numId w:val="0"/>
        </w:numPr>
        <w:tabs>
          <w:tab w:val="left" w:pos="1068"/>
          <w:tab w:val="left" w:pos="2098"/>
          <w:tab w:val="left" w:pos="3346"/>
          <w:tab w:val="left" w:pos="5168"/>
          <w:tab w:val="left" w:pos="6320"/>
          <w:tab w:val="left" w:pos="8346"/>
        </w:tabs>
        <w:spacing w:before="0"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3.2.15.3 </w:t>
      </w:r>
      <w:r>
        <w:rPr>
          <w:rFonts w:ascii="Arial" w:hAnsi="Arial" w:eastAsia="Verdana" w:cs="Arial"/>
          <w:b w:val="0"/>
          <w:bCs/>
          <w:iCs/>
          <w:sz w:val="22"/>
          <w:szCs w:val="22"/>
          <w:u w:val="none"/>
          <w:lang w:val="pt-PT" w:eastAsia="en-US" w:bidi="ar-SA"/>
        </w:rPr>
        <w:t>O(s) fiscal(is) registrará(ão) todas as ocorrências relevantes, com data e conteúdo, encami- nhando</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os</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registros</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à</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autoridade</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competente.</w:t>
      </w:r>
    </w:p>
    <w:p w14:paraId="43829C2F">
      <w:pPr>
        <w:pStyle w:val="19"/>
        <w:numPr>
          <w:ilvl w:val="0"/>
          <w:numId w:val="0"/>
        </w:numPr>
        <w:tabs>
          <w:tab w:val="left" w:pos="1047"/>
          <w:tab w:val="left" w:pos="8546"/>
        </w:tabs>
        <w:spacing w:before="1"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3.2.15.4 </w:t>
      </w:r>
      <w:r>
        <w:rPr>
          <w:rFonts w:ascii="Arial" w:hAnsi="Arial" w:eastAsia="Verdana" w:cs="Arial"/>
          <w:b w:val="0"/>
          <w:bCs/>
          <w:iCs/>
          <w:sz w:val="22"/>
          <w:szCs w:val="22"/>
          <w:u w:val="none"/>
          <w:lang w:val="pt-PT" w:eastAsia="en-US" w:bidi="ar-SA"/>
        </w:rPr>
        <w:t>O(s) fiscal(is) deverá(ão) possuir conhecimento técnico suficiente para avaliar a qualidade dos materiais</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entregues.</w:t>
      </w:r>
    </w:p>
    <w:p w14:paraId="7B59A83C">
      <w:pPr>
        <w:pStyle w:val="19"/>
        <w:numPr>
          <w:ilvl w:val="0"/>
          <w:numId w:val="0"/>
        </w:numPr>
        <w:tabs>
          <w:tab w:val="left" w:pos="1042"/>
          <w:tab w:val="left" w:pos="1617"/>
          <w:tab w:val="left" w:pos="3864"/>
          <w:tab w:val="left" w:pos="5116"/>
          <w:tab w:val="left" w:pos="7342"/>
          <w:tab w:val="left" w:pos="8603"/>
        </w:tabs>
        <w:spacing w:before="0"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3.2.15.5 </w:t>
      </w:r>
      <w:r>
        <w:rPr>
          <w:rFonts w:ascii="Arial" w:hAnsi="Arial" w:eastAsia="Verdana" w:cs="Arial"/>
          <w:b w:val="0"/>
          <w:bCs/>
          <w:iCs/>
          <w:sz w:val="22"/>
          <w:szCs w:val="22"/>
          <w:u w:val="none"/>
          <w:lang w:val="pt-PT" w:eastAsia="en-US" w:bidi="ar-SA"/>
        </w:rPr>
        <w:t>A verificação da conformidade será baseada nos critérios constantes deste Termo de Referên- cia,</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especialmente</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nas</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especificações</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dos</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materiais.</w:t>
      </w:r>
    </w:p>
    <w:p w14:paraId="2E5E4DF2">
      <w:pPr>
        <w:pStyle w:val="19"/>
        <w:numPr>
          <w:ilvl w:val="0"/>
          <w:numId w:val="0"/>
        </w:numPr>
        <w:tabs>
          <w:tab w:val="left" w:pos="1053"/>
        </w:tabs>
        <w:spacing w:before="1"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3.2.15.6 </w:t>
      </w:r>
      <w:r>
        <w:rPr>
          <w:rFonts w:ascii="Arial" w:hAnsi="Arial" w:eastAsia="Verdana" w:cs="Arial"/>
          <w:b w:val="0"/>
          <w:bCs/>
          <w:iCs/>
          <w:sz w:val="22"/>
          <w:szCs w:val="22"/>
          <w:u w:val="none"/>
          <w:lang w:val="pt-PT" w:eastAsia="en-US" w:bidi="ar-SA"/>
        </w:rPr>
        <w:t>A fiscalização não exclui nem reduz a responsabilidade da Contratada por danos decorrentes de falhas no fornecimento.</w:t>
      </w:r>
    </w:p>
    <w:p w14:paraId="342D0230">
      <w:pPr>
        <w:pStyle w:val="19"/>
        <w:numPr>
          <w:ilvl w:val="0"/>
          <w:numId w:val="0"/>
        </w:numPr>
        <w:tabs>
          <w:tab w:val="left" w:pos="2325"/>
          <w:tab w:val="left" w:pos="4148"/>
          <w:tab w:val="left" w:pos="6623"/>
          <w:tab w:val="left" w:pos="8356"/>
        </w:tabs>
        <w:spacing w:before="201"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3.2.15.7 </w:t>
      </w:r>
      <w:r>
        <w:rPr>
          <w:rFonts w:ascii="Arial" w:hAnsi="Arial" w:eastAsia="Verdana" w:cs="Arial"/>
          <w:b w:val="0"/>
          <w:bCs/>
          <w:iCs/>
          <w:sz w:val="22"/>
          <w:szCs w:val="22"/>
          <w:u w:val="none"/>
          <w:lang w:val="pt-PT" w:eastAsia="en-US" w:bidi="ar-SA"/>
        </w:rPr>
        <w:t>São</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obrigações</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do</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Contratante:</w:t>
      </w:r>
    </w:p>
    <w:p w14:paraId="4C3083DB">
      <w:pPr>
        <w:pStyle w:val="19"/>
        <w:numPr>
          <w:ilvl w:val="0"/>
          <w:numId w:val="0"/>
        </w:numPr>
        <w:tabs>
          <w:tab w:val="left" w:pos="1053"/>
        </w:tabs>
        <w:spacing w:before="0"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3.2.15.8 </w:t>
      </w:r>
      <w:r>
        <w:rPr>
          <w:rFonts w:ascii="Arial" w:hAnsi="Arial" w:eastAsia="Verdana" w:cs="Arial"/>
          <w:b w:val="0"/>
          <w:bCs/>
          <w:iCs/>
          <w:sz w:val="22"/>
          <w:szCs w:val="22"/>
          <w:u w:val="none"/>
          <w:lang w:val="pt-PT" w:eastAsia="en-US" w:bidi="ar-SA"/>
        </w:rPr>
        <w:t>Atestar as notas fiscais da Contratada após verificação da conformidade dos materiais entre- gues.</w:t>
      </w:r>
    </w:p>
    <w:p w14:paraId="568911CA">
      <w:pPr>
        <w:pStyle w:val="19"/>
        <w:numPr>
          <w:ilvl w:val="0"/>
          <w:numId w:val="0"/>
        </w:numPr>
        <w:tabs>
          <w:tab w:val="left" w:pos="1465"/>
          <w:tab w:val="left" w:pos="2592"/>
          <w:tab w:val="left" w:pos="3182"/>
          <w:tab w:val="left" w:pos="4674"/>
          <w:tab w:val="left" w:pos="5753"/>
          <w:tab w:val="left" w:pos="6833"/>
          <w:tab w:val="left" w:pos="7537"/>
          <w:tab w:val="left" w:pos="8510"/>
        </w:tabs>
        <w:spacing w:before="0"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3.2.15.9 </w:t>
      </w:r>
      <w:r>
        <w:rPr>
          <w:rFonts w:ascii="Arial" w:hAnsi="Arial" w:eastAsia="Verdana" w:cs="Arial"/>
          <w:b w:val="0"/>
          <w:bCs/>
          <w:iCs/>
          <w:sz w:val="22"/>
          <w:szCs w:val="22"/>
          <w:u w:val="none"/>
          <w:lang w:val="pt-PT" w:eastAsia="en-US" w:bidi="ar-SA"/>
        </w:rPr>
        <w:t>Efetuar</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o</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pagamento</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devido</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dentro</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do</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prazo</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contratual.</w:t>
      </w:r>
    </w:p>
    <w:p w14:paraId="66C17EF3">
      <w:pPr>
        <w:pStyle w:val="19"/>
        <w:numPr>
          <w:ilvl w:val="0"/>
          <w:numId w:val="0"/>
        </w:numPr>
        <w:tabs>
          <w:tab w:val="left" w:pos="1369"/>
          <w:tab w:val="left" w:pos="2546"/>
          <w:tab w:val="left" w:pos="4034"/>
          <w:tab w:val="left" w:pos="4521"/>
          <w:tab w:val="left" w:pos="6347"/>
          <w:tab w:val="left" w:pos="7667"/>
          <w:tab w:val="left" w:pos="8426"/>
        </w:tabs>
        <w:spacing w:before="1"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3.2.15.10 </w:t>
      </w:r>
      <w:r>
        <w:rPr>
          <w:rFonts w:ascii="Arial" w:hAnsi="Arial" w:eastAsia="Verdana" w:cs="Arial"/>
          <w:b w:val="0"/>
          <w:bCs/>
          <w:iCs/>
          <w:sz w:val="22"/>
          <w:szCs w:val="22"/>
          <w:u w:val="none"/>
          <w:lang w:val="pt-PT" w:eastAsia="en-US" w:bidi="ar-SA"/>
        </w:rPr>
        <w:t>Fornecer</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informações</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e</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esclarecimentos</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solicitados</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pela</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Contratada.</w:t>
      </w:r>
    </w:p>
    <w:p w14:paraId="0CBBA0B0">
      <w:pPr>
        <w:pStyle w:val="19"/>
        <w:numPr>
          <w:ilvl w:val="0"/>
          <w:numId w:val="0"/>
        </w:numPr>
        <w:tabs>
          <w:tab w:val="left" w:pos="1068"/>
        </w:tabs>
        <w:spacing w:before="0"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3.2.15.11 </w:t>
      </w:r>
      <w:r>
        <w:rPr>
          <w:rFonts w:ascii="Arial" w:hAnsi="Arial" w:eastAsia="Verdana" w:cs="Arial"/>
          <w:b w:val="0"/>
          <w:bCs/>
          <w:iCs/>
          <w:sz w:val="22"/>
          <w:szCs w:val="22"/>
          <w:u w:val="none"/>
          <w:lang w:val="pt-PT" w:eastAsia="en-US" w:bidi="ar-SA"/>
        </w:rPr>
        <w:t>Aplicar penalidades cabíveis, conforme previsto neste Termo de Referência, edital e Lei nº 14.133/2021.</w:t>
      </w:r>
    </w:p>
    <w:p w14:paraId="59C6A05C">
      <w:pPr>
        <w:pStyle w:val="19"/>
        <w:numPr>
          <w:ilvl w:val="0"/>
          <w:numId w:val="0"/>
        </w:numPr>
        <w:tabs>
          <w:tab w:val="left" w:pos="1897"/>
          <w:tab w:val="left" w:pos="2929"/>
          <w:tab w:val="left" w:pos="4841"/>
          <w:tab w:val="left" w:pos="6394"/>
          <w:tab w:val="left" w:pos="7919"/>
        </w:tabs>
        <w:spacing w:before="0"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3.2.15.12 </w:t>
      </w:r>
      <w:r>
        <w:rPr>
          <w:rFonts w:ascii="Arial" w:hAnsi="Arial" w:eastAsia="Verdana" w:cs="Arial"/>
          <w:b w:val="0"/>
          <w:bCs/>
          <w:iCs/>
          <w:sz w:val="22"/>
          <w:szCs w:val="22"/>
          <w:u w:val="none"/>
          <w:lang w:val="pt-PT" w:eastAsia="en-US" w:bidi="ar-SA"/>
        </w:rPr>
        <w:t>A</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fiscalização</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seguirá</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rotinas</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complementares:</w:t>
      </w:r>
    </w:p>
    <w:p w14:paraId="45B11ED0">
      <w:pPr>
        <w:pStyle w:val="10"/>
        <w:spacing w:before="1" w:line="360" w:lineRule="auto"/>
        <w:ind w:left="118" w:leftChars="0" w:right="53" w:rightChars="24" w:hanging="118" w:hangingChars="54"/>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3.2.15.13 </w:t>
      </w:r>
      <w:r>
        <w:rPr>
          <w:rFonts w:ascii="Arial" w:hAnsi="Arial" w:eastAsia="Verdana" w:cs="Arial"/>
          <w:b w:val="0"/>
          <w:bCs/>
          <w:iCs/>
          <w:sz w:val="22"/>
          <w:szCs w:val="22"/>
          <w:u w:val="none"/>
          <w:lang w:val="pt-PT" w:eastAsia="en-US" w:bidi="ar-SA"/>
        </w:rPr>
        <w:t>Realização de avaliação da entrega mediante Instrumento de Medição de</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Resultado (IMR), com</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redimensionamento</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proporcional</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do</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pagamento</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quando</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a</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Contratada:</w:t>
      </w:r>
    </w:p>
    <w:p w14:paraId="60E7F5E5">
      <w:pPr>
        <w:pStyle w:val="19"/>
        <w:numPr>
          <w:ilvl w:val="0"/>
          <w:numId w:val="4"/>
        </w:numPr>
        <w:spacing w:before="0"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ascii="Arial" w:hAnsi="Arial" w:eastAsia="Verdana" w:cs="Arial"/>
          <w:b w:val="0"/>
          <w:bCs/>
          <w:iCs/>
          <w:sz w:val="22"/>
          <w:szCs w:val="22"/>
          <w:u w:val="none"/>
          <w:lang w:val="pt-PT" w:eastAsia="en-US" w:bidi="ar-SA"/>
        </w:rPr>
        <w:t>Deixar</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de</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entregar</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os</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materiais;</w:t>
      </w:r>
    </w:p>
    <w:p w14:paraId="46A45424">
      <w:pPr>
        <w:pStyle w:val="19"/>
        <w:numPr>
          <w:ilvl w:val="0"/>
          <w:numId w:val="4"/>
        </w:numPr>
        <w:tabs>
          <w:tab w:val="left" w:pos="925"/>
          <w:tab w:val="left" w:pos="2065"/>
          <w:tab w:val="left" w:pos="3253"/>
          <w:tab w:val="left" w:pos="3991"/>
          <w:tab w:val="left" w:pos="4586"/>
          <w:tab w:val="left" w:pos="6150"/>
          <w:tab w:val="left" w:pos="6756"/>
          <w:tab w:val="left" w:pos="7513"/>
          <w:tab w:val="left" w:pos="8770"/>
        </w:tabs>
        <w:spacing w:before="0"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ascii="Arial" w:hAnsi="Arial" w:eastAsia="Verdana" w:cs="Arial"/>
          <w:b w:val="0"/>
          <w:bCs/>
          <w:iCs/>
          <w:sz w:val="22"/>
          <w:szCs w:val="22"/>
          <w:u w:val="none"/>
          <w:lang w:val="pt-PT" w:eastAsia="en-US" w:bidi="ar-SA"/>
        </w:rPr>
        <w:t>Entregar</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produtos</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fora</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da</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especificação</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ou</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com</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qualidade</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inferior;</w:t>
      </w:r>
    </w:p>
    <w:p w14:paraId="1C3D7124">
      <w:pPr>
        <w:pStyle w:val="19"/>
        <w:numPr>
          <w:ilvl w:val="0"/>
          <w:numId w:val="4"/>
        </w:numPr>
        <w:tabs>
          <w:tab w:val="left" w:pos="1365"/>
          <w:tab w:val="left" w:pos="2969"/>
          <w:tab w:val="left" w:pos="4825"/>
          <w:tab w:val="left" w:pos="6254"/>
          <w:tab w:val="left" w:pos="7431"/>
          <w:tab w:val="left" w:pos="8373"/>
        </w:tabs>
        <w:spacing w:before="0"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ascii="Arial" w:hAnsi="Arial" w:eastAsia="Verdana" w:cs="Arial"/>
          <w:b w:val="0"/>
          <w:bCs/>
          <w:iCs/>
          <w:sz w:val="22"/>
          <w:szCs w:val="22"/>
          <w:u w:val="none"/>
          <w:lang w:val="pt-PT" w:eastAsia="en-US" w:bidi="ar-SA"/>
        </w:rPr>
        <w:t>Entregar</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quantidade</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menor</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que</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a</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demandada.</w:t>
      </w:r>
    </w:p>
    <w:p w14:paraId="1A30A830">
      <w:pPr>
        <w:pStyle w:val="19"/>
        <w:numPr>
          <w:ilvl w:val="0"/>
          <w:numId w:val="0"/>
        </w:numPr>
        <w:tabs>
          <w:tab w:val="left" w:pos="1212"/>
        </w:tabs>
        <w:spacing w:before="0"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3.2.16 </w:t>
      </w:r>
      <w:r>
        <w:rPr>
          <w:rFonts w:ascii="Arial" w:hAnsi="Arial" w:eastAsia="Verdana" w:cs="Arial"/>
          <w:b w:val="0"/>
          <w:bCs/>
          <w:iCs/>
          <w:sz w:val="22"/>
          <w:szCs w:val="22"/>
          <w:u w:val="none"/>
          <w:lang w:val="pt-PT" w:eastAsia="en-US" w:bidi="ar-SA"/>
        </w:rPr>
        <w:t>O uso do IMR não impede a aplicação de outros mecanismos de avaliação da conformidade.</w:t>
      </w:r>
    </w:p>
    <w:p w14:paraId="00717DE5">
      <w:pPr>
        <w:pStyle w:val="19"/>
        <w:numPr>
          <w:ilvl w:val="0"/>
          <w:numId w:val="0"/>
        </w:numPr>
        <w:tabs>
          <w:tab w:val="left" w:pos="1214"/>
          <w:tab w:val="left" w:pos="1294"/>
          <w:tab w:val="left" w:pos="1909"/>
          <w:tab w:val="left" w:pos="2704"/>
          <w:tab w:val="left" w:pos="3324"/>
          <w:tab w:val="left" w:pos="5033"/>
          <w:tab w:val="left" w:pos="5796"/>
          <w:tab w:val="left" w:pos="6915"/>
          <w:tab w:val="left" w:pos="7614"/>
          <w:tab w:val="left" w:pos="8719"/>
        </w:tabs>
        <w:spacing w:before="0" w:after="0" w:line="360" w:lineRule="auto"/>
        <w:ind w:left="9" w:leftChars="0" w:right="53" w:rightChars="24" w:hanging="9" w:firstLineChars="0"/>
        <w:jc w:val="both"/>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3.2.17 </w:t>
      </w:r>
      <w:r>
        <w:rPr>
          <w:rFonts w:ascii="Arial" w:hAnsi="Arial" w:eastAsia="Verdana" w:cs="Arial"/>
          <w:b w:val="0"/>
          <w:bCs/>
          <w:iCs/>
          <w:sz w:val="22"/>
          <w:szCs w:val="22"/>
          <w:u w:val="none"/>
          <w:lang w:val="pt-PT" w:eastAsia="en-US" w:bidi="ar-SA"/>
        </w:rPr>
        <w:t>Conforme Anexo VIII-A da IN SEGES/MP nº 5/2017, poderá haver retenção ou glosa propor - cional</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ao</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grau</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de</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irregularidade,</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sem</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prejuízo</w:t>
      </w:r>
      <w:r>
        <w:rPr>
          <w:rFonts w:hint="default" w:ascii="Arial" w:hAnsi="Arial" w:cs="Arial"/>
          <w:b w:val="0"/>
          <w:bCs/>
          <w:iCs/>
          <w:sz w:val="22"/>
          <w:szCs w:val="22"/>
          <w:u w:val="none"/>
          <w:lang w:val="pt-BR" w:eastAsia="en-US" w:bidi="ar-SA"/>
        </w:rPr>
        <w:t xml:space="preserve"> </w:t>
      </w:r>
      <w:r>
        <w:rPr>
          <w:rFonts w:ascii="Arial" w:hAnsi="Arial" w:eastAsia="Verdana" w:cs="Arial"/>
          <w:b w:val="0"/>
          <w:bCs/>
          <w:iCs/>
          <w:sz w:val="22"/>
          <w:szCs w:val="22"/>
          <w:u w:val="none"/>
          <w:lang w:val="pt-PT" w:eastAsia="en-US" w:bidi="ar-SA"/>
        </w:rPr>
        <w:t>das</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sanções</w:t>
      </w:r>
      <w:r>
        <w:rPr>
          <w:rFonts w:ascii="Arial" w:hAnsi="Arial" w:eastAsia="Verdana" w:cs="Arial"/>
          <w:b w:val="0"/>
          <w:bCs/>
          <w:iCs/>
          <w:sz w:val="22"/>
          <w:szCs w:val="22"/>
          <w:u w:val="none"/>
          <w:lang w:val="pt-PT" w:eastAsia="en-US" w:bidi="ar-SA"/>
        </w:rPr>
        <w:tab/>
      </w:r>
      <w:r>
        <w:rPr>
          <w:rFonts w:ascii="Arial" w:hAnsi="Arial" w:eastAsia="Verdana" w:cs="Arial"/>
          <w:b w:val="0"/>
          <w:bCs/>
          <w:iCs/>
          <w:sz w:val="22"/>
          <w:szCs w:val="22"/>
          <w:u w:val="none"/>
          <w:lang w:val="pt-PT" w:eastAsia="en-US" w:bidi="ar-SA"/>
        </w:rPr>
        <w:t>cabíveis.</w:t>
      </w:r>
    </w:p>
    <w:p w14:paraId="4583F3E2">
      <w:pPr>
        <w:pStyle w:val="19"/>
        <w:numPr>
          <w:ilvl w:val="0"/>
          <w:numId w:val="0"/>
        </w:numPr>
        <w:tabs>
          <w:tab w:val="left" w:pos="1208"/>
        </w:tabs>
        <w:spacing w:before="0"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hint="default" w:ascii="Arial" w:hAnsi="Arial" w:eastAsia="Verdana" w:cs="Arial"/>
          <w:b w:val="0"/>
          <w:bCs/>
          <w:iCs/>
          <w:sz w:val="22"/>
          <w:szCs w:val="22"/>
          <w:u w:val="none"/>
          <w:lang w:val="pt-BR" w:eastAsia="en-US" w:bidi="ar-SA"/>
        </w:rPr>
        <w:t xml:space="preserve">3.2.18 </w:t>
      </w:r>
      <w:r>
        <w:rPr>
          <w:rFonts w:ascii="Arial" w:hAnsi="Arial" w:eastAsia="Verdana" w:cs="Arial"/>
          <w:b w:val="0"/>
          <w:bCs/>
          <w:iCs/>
          <w:sz w:val="22"/>
          <w:szCs w:val="22"/>
          <w:u w:val="none"/>
          <w:lang w:val="pt-PT" w:eastAsia="en-US" w:bidi="ar-SA"/>
        </w:rPr>
        <w:t>Irregularidades que ensejarão glosa:</w:t>
      </w:r>
    </w:p>
    <w:p w14:paraId="78815F0A">
      <w:pPr>
        <w:pStyle w:val="19"/>
        <w:numPr>
          <w:ilvl w:val="0"/>
          <w:numId w:val="5"/>
        </w:numPr>
        <w:tabs>
          <w:tab w:val="left" w:pos="1089"/>
        </w:tabs>
        <w:spacing w:before="199"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ascii="Arial" w:hAnsi="Arial" w:eastAsia="Verdana" w:cs="Arial"/>
          <w:b w:val="0"/>
          <w:bCs/>
          <w:iCs/>
          <w:sz w:val="22"/>
          <w:szCs w:val="22"/>
          <w:u w:val="none"/>
          <w:lang w:val="pt-PT" w:eastAsia="en-US" w:bidi="ar-SA"/>
        </w:rPr>
        <w:t>Não fornecimento de itens acordados;</w:t>
      </w:r>
    </w:p>
    <w:p w14:paraId="0DDF0ED9">
      <w:pPr>
        <w:pStyle w:val="19"/>
        <w:numPr>
          <w:ilvl w:val="0"/>
          <w:numId w:val="5"/>
        </w:numPr>
        <w:tabs>
          <w:tab w:val="left" w:pos="1089"/>
        </w:tabs>
        <w:spacing w:before="202"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ascii="Arial" w:hAnsi="Arial" w:eastAsia="Verdana" w:cs="Arial"/>
          <w:b w:val="0"/>
          <w:bCs/>
          <w:iCs/>
          <w:sz w:val="22"/>
          <w:szCs w:val="22"/>
          <w:u w:val="none"/>
          <w:lang w:val="pt-PT" w:eastAsia="en-US" w:bidi="ar-SA"/>
        </w:rPr>
        <w:t>Fornecimento de itens com qualidade inferior ou fora da especificação;</w:t>
      </w:r>
    </w:p>
    <w:p w14:paraId="7211A6DC">
      <w:pPr>
        <w:pStyle w:val="19"/>
        <w:numPr>
          <w:ilvl w:val="0"/>
          <w:numId w:val="5"/>
        </w:numPr>
        <w:tabs>
          <w:tab w:val="left" w:pos="1089"/>
        </w:tabs>
        <w:spacing w:before="199"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ascii="Arial" w:hAnsi="Arial" w:eastAsia="Verdana" w:cs="Arial"/>
          <w:b w:val="0"/>
          <w:bCs/>
          <w:iCs/>
          <w:sz w:val="22"/>
          <w:szCs w:val="22"/>
          <w:u w:val="none"/>
          <w:lang w:val="pt-PT" w:eastAsia="en-US" w:bidi="ar-SA"/>
        </w:rPr>
        <w:t>Entregas parciais injustificadas ou em desacordo com os prazos pactuados.</w:t>
      </w:r>
    </w:p>
    <w:p w14:paraId="57B90CB4">
      <w:pPr>
        <w:pStyle w:val="19"/>
        <w:numPr>
          <w:ilvl w:val="0"/>
          <w:numId w:val="5"/>
        </w:numPr>
        <w:tabs>
          <w:tab w:val="left" w:pos="1089"/>
        </w:tabs>
        <w:spacing w:before="202" w:after="0" w:line="360" w:lineRule="auto"/>
        <w:ind w:left="9" w:leftChars="0" w:right="53" w:rightChars="24" w:hanging="9" w:firstLineChars="0"/>
        <w:jc w:val="left"/>
        <w:rPr>
          <w:rFonts w:ascii="Arial" w:hAnsi="Arial" w:eastAsia="Verdana" w:cs="Arial"/>
          <w:b w:val="0"/>
          <w:bCs/>
          <w:iCs/>
          <w:sz w:val="22"/>
          <w:szCs w:val="22"/>
          <w:u w:val="none"/>
          <w:lang w:val="pt-PT" w:eastAsia="en-US" w:bidi="ar-SA"/>
        </w:rPr>
      </w:pPr>
      <w:r>
        <w:rPr>
          <w:rFonts w:ascii="Arial" w:hAnsi="Arial" w:eastAsia="Verdana" w:cs="Arial"/>
          <w:b w:val="0"/>
          <w:bCs/>
          <w:iCs/>
          <w:sz w:val="22"/>
          <w:szCs w:val="22"/>
          <w:u w:val="none"/>
          <w:lang w:val="pt-PT" w:eastAsia="en-US" w:bidi="ar-SA"/>
        </w:rPr>
        <w:t>Entregas parciais injustificadas ou em desacordo com os prazos pactuados.</w:t>
      </w:r>
    </w:p>
    <w:p w14:paraId="6E77E0D6">
      <w:pPr>
        <w:pStyle w:val="3"/>
        <w:numPr>
          <w:ilvl w:val="0"/>
          <w:numId w:val="0"/>
        </w:numPr>
        <w:tabs>
          <w:tab w:val="left" w:pos="1089"/>
        </w:tabs>
        <w:spacing w:before="81" w:after="0" w:line="240" w:lineRule="auto"/>
        <w:ind w:right="0" w:rightChars="0"/>
        <w:jc w:val="both"/>
        <w:rPr>
          <w:rFonts w:hint="default" w:ascii="Arial" w:hAnsi="Arial" w:eastAsia="Verdana" w:cs="Arial"/>
          <w:b w:val="0"/>
          <w:bCs/>
          <w:iCs/>
          <w:sz w:val="22"/>
          <w:szCs w:val="22"/>
          <w:u w:val="none"/>
          <w:lang w:val="pt-BR" w:eastAsia="en-US" w:bidi="ar-SA"/>
        </w:rPr>
      </w:pPr>
    </w:p>
    <w:p w14:paraId="22193CCF">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3D3E93D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F798910">
      <w:pPr>
        <w:pStyle w:val="19"/>
        <w:widowControl/>
        <w:tabs>
          <w:tab w:val="left" w:pos="426"/>
        </w:tabs>
        <w:autoSpaceDE/>
        <w:autoSpaceDN/>
        <w:spacing w:before="120" w:after="120" w:line="276" w:lineRule="auto"/>
        <w:ind w:left="0"/>
        <w:jc w:val="both"/>
        <w:rPr>
          <w:rFonts w:ascii="Arial" w:hAnsi="Arial" w:cs="Arial"/>
          <w:bCs/>
          <w:i/>
          <w:iCs/>
          <w:color w:val="FF0000"/>
        </w:rPr>
      </w:pPr>
    </w:p>
    <w:p w14:paraId="273B40C6">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36359F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19E0CAC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1CFCB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5459A90B">
      <w:pPr>
        <w:pStyle w:val="19"/>
        <w:widowControl/>
        <w:tabs>
          <w:tab w:val="left" w:pos="426"/>
        </w:tabs>
        <w:autoSpaceDE/>
        <w:autoSpaceDN/>
        <w:spacing w:before="120" w:after="120" w:line="276" w:lineRule="auto"/>
        <w:ind w:left="0"/>
        <w:jc w:val="both"/>
        <w:rPr>
          <w:rFonts w:ascii="Arial" w:hAnsi="Arial" w:cs="Arial"/>
          <w:bCs/>
          <w:i/>
          <w:color w:val="FF0000"/>
        </w:rPr>
      </w:pPr>
    </w:p>
    <w:p w14:paraId="132F4CAA">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50225212">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6.1 </w:t>
      </w:r>
      <w:r>
        <w:rPr>
          <w:rFonts w:ascii="Arial" w:hAnsi="Arial" w:cs="Arial"/>
          <w:bCs/>
          <w:iCs/>
        </w:rPr>
        <w:t>A Nota Fiscal deverá ser emitida em nome do Fundo Municipal de Assistência Social, CNPJ: 07.293.841/0001-83, no endereço: Alameda Eduardo Guinle, nº 137, Centro, Nova Friburgo/RJ, CEP 28.625-130.</w:t>
      </w:r>
    </w:p>
    <w:p w14:paraId="53A2B1A5">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6.2 </w:t>
      </w:r>
      <w:r>
        <w:rPr>
          <w:rFonts w:ascii="Arial" w:hAnsi="Arial" w:cs="Arial"/>
          <w:bCs/>
          <w:iCs/>
        </w:rPr>
        <w:t>Os  materiais  deverão  ser  entregues  nos  seguintes  endereços  e  horários:</w:t>
      </w:r>
    </w:p>
    <w:p w14:paraId="197D0BA4">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 </w:t>
      </w:r>
      <w:r>
        <w:rPr>
          <w:rFonts w:ascii="Arial" w:hAnsi="Arial" w:cs="Arial"/>
          <w:bCs/>
          <w:iCs/>
        </w:rPr>
        <w:t>Centro Pop – Alameda Visconde de Taunay, nº 278, Parque São Clemente, Olaria – Nova Fribur- go/RJ;</w:t>
      </w:r>
      <w:r>
        <w:rPr>
          <w:rFonts w:ascii="Arial" w:hAnsi="Arial" w:cs="Arial"/>
          <w:bCs/>
          <w:iCs/>
        </w:rPr>
        <w:tab/>
      </w:r>
      <w:r>
        <w:rPr>
          <w:rFonts w:ascii="Arial" w:hAnsi="Arial" w:cs="Arial"/>
          <w:bCs/>
          <w:iCs/>
        </w:rPr>
        <w:tab/>
      </w:r>
      <w:r>
        <w:rPr>
          <w:rFonts w:ascii="Arial" w:hAnsi="Arial" w:cs="Arial"/>
          <w:bCs/>
          <w:iCs/>
        </w:rPr>
        <w:t>de</w:t>
      </w:r>
      <w:r>
        <w:rPr>
          <w:rFonts w:ascii="Arial" w:hAnsi="Arial" w:cs="Arial"/>
          <w:bCs/>
          <w:iCs/>
        </w:rPr>
        <w:tab/>
      </w:r>
      <w:r>
        <w:rPr>
          <w:rFonts w:ascii="Arial" w:hAnsi="Arial" w:cs="Arial"/>
          <w:bCs/>
          <w:iCs/>
        </w:rPr>
        <w:t>segunda</w:t>
      </w:r>
      <w:r>
        <w:rPr>
          <w:rFonts w:ascii="Arial" w:hAnsi="Arial" w:cs="Arial"/>
          <w:bCs/>
          <w:iCs/>
        </w:rPr>
        <w:tab/>
      </w:r>
      <w:r>
        <w:rPr>
          <w:rFonts w:ascii="Arial" w:hAnsi="Arial" w:cs="Arial"/>
          <w:bCs/>
          <w:iCs/>
        </w:rPr>
        <w:t>a</w:t>
      </w:r>
      <w:r>
        <w:rPr>
          <w:rFonts w:ascii="Arial" w:hAnsi="Arial" w:cs="Arial"/>
          <w:bCs/>
          <w:iCs/>
        </w:rPr>
        <w:tab/>
      </w:r>
      <w:r>
        <w:rPr>
          <w:rFonts w:ascii="Arial" w:hAnsi="Arial" w:cs="Arial"/>
          <w:bCs/>
          <w:iCs/>
        </w:rPr>
        <w:t>sexta-feira,</w:t>
      </w:r>
      <w:r>
        <w:rPr>
          <w:rFonts w:ascii="Arial" w:hAnsi="Arial" w:cs="Arial"/>
          <w:bCs/>
          <w:iCs/>
        </w:rPr>
        <w:tab/>
      </w:r>
      <w:r>
        <w:rPr>
          <w:rFonts w:ascii="Arial" w:hAnsi="Arial" w:cs="Arial"/>
          <w:bCs/>
          <w:iCs/>
        </w:rPr>
        <w:t>das</w:t>
      </w:r>
      <w:r>
        <w:rPr>
          <w:rFonts w:ascii="Arial" w:hAnsi="Arial" w:cs="Arial"/>
          <w:bCs/>
          <w:iCs/>
        </w:rPr>
        <w:tab/>
      </w:r>
      <w:r>
        <w:rPr>
          <w:rFonts w:ascii="Arial" w:hAnsi="Arial" w:cs="Arial"/>
          <w:bCs/>
          <w:iCs/>
        </w:rPr>
        <w:t>9h</w:t>
      </w:r>
      <w:r>
        <w:rPr>
          <w:rFonts w:ascii="Arial" w:hAnsi="Arial" w:cs="Arial"/>
          <w:bCs/>
          <w:iCs/>
        </w:rPr>
        <w:tab/>
      </w:r>
      <w:r>
        <w:rPr>
          <w:rFonts w:ascii="Arial" w:hAnsi="Arial" w:cs="Arial"/>
          <w:bCs/>
          <w:iCs/>
        </w:rPr>
        <w:t>às</w:t>
      </w:r>
      <w:r>
        <w:rPr>
          <w:rFonts w:ascii="Arial" w:hAnsi="Arial" w:cs="Arial"/>
          <w:bCs/>
          <w:iCs/>
        </w:rPr>
        <w:tab/>
      </w:r>
      <w:r>
        <w:rPr>
          <w:rFonts w:ascii="Arial" w:hAnsi="Arial" w:cs="Arial"/>
          <w:bCs/>
          <w:iCs/>
        </w:rPr>
        <w:t>16h.</w:t>
      </w:r>
    </w:p>
    <w:p w14:paraId="5B07D9CF">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 </w:t>
      </w:r>
      <w:r>
        <w:rPr>
          <w:rFonts w:ascii="Arial" w:hAnsi="Arial" w:cs="Arial"/>
          <w:bCs/>
          <w:iCs/>
        </w:rPr>
        <w:t>CAIVS – Casa de Acolhimento Institucional Vila Sorriso – Rua Itajubá, S/N, Vargem Grande, Cô - nego – Nova Friburgo/RJ; de segunda a sexta-feira, das 9h às 16h.</w:t>
      </w:r>
    </w:p>
    <w:p w14:paraId="69295A00">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6.3 </w:t>
      </w:r>
      <w:r>
        <w:rPr>
          <w:rFonts w:ascii="Arial" w:hAnsi="Arial" w:cs="Arial"/>
          <w:bCs/>
          <w:iCs/>
        </w:rPr>
        <w:t>Da</w:t>
      </w:r>
      <w:r>
        <w:rPr>
          <w:rFonts w:ascii="Arial" w:hAnsi="Arial" w:cs="Arial"/>
          <w:bCs/>
          <w:iCs/>
        </w:rPr>
        <w:tab/>
      </w:r>
      <w:r>
        <w:rPr>
          <w:rFonts w:ascii="Arial" w:hAnsi="Arial" w:cs="Arial"/>
          <w:bCs/>
          <w:iCs/>
        </w:rPr>
        <w:t>liquidação</w:t>
      </w:r>
      <w:r>
        <w:rPr>
          <w:rFonts w:ascii="Arial" w:hAnsi="Arial" w:cs="Arial"/>
          <w:bCs/>
          <w:iCs/>
        </w:rPr>
        <w:tab/>
      </w:r>
      <w:r>
        <w:rPr>
          <w:rFonts w:ascii="Arial" w:hAnsi="Arial" w:cs="Arial"/>
          <w:bCs/>
          <w:iCs/>
        </w:rPr>
        <w:t>da</w:t>
      </w:r>
      <w:r>
        <w:rPr>
          <w:rFonts w:ascii="Arial" w:hAnsi="Arial" w:cs="Arial"/>
          <w:bCs/>
          <w:iCs/>
        </w:rPr>
        <w:tab/>
      </w:r>
      <w:r>
        <w:rPr>
          <w:rFonts w:ascii="Arial" w:hAnsi="Arial" w:cs="Arial"/>
          <w:bCs/>
          <w:iCs/>
        </w:rPr>
        <w:t>despesa:</w:t>
      </w:r>
    </w:p>
    <w:p w14:paraId="3A579F2E">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6.3.1 </w:t>
      </w:r>
      <w:r>
        <w:rPr>
          <w:rFonts w:ascii="Arial" w:hAnsi="Arial" w:cs="Arial"/>
          <w:bCs/>
          <w:iCs/>
        </w:rPr>
        <w:t>A liquidação será realizada pela Secretaria de Fazenda, após o cumprimento das obrigações es - tabelecidas neste Termo de Referência, em conformidade com o Decreto nº 2.493, de 07 de novem - bro</w:t>
      </w:r>
      <w:r>
        <w:rPr>
          <w:rFonts w:ascii="Arial" w:hAnsi="Arial" w:cs="Arial"/>
          <w:bCs/>
          <w:iCs/>
        </w:rPr>
        <w:tab/>
      </w:r>
      <w:r>
        <w:rPr>
          <w:rFonts w:ascii="Arial" w:hAnsi="Arial" w:cs="Arial"/>
          <w:bCs/>
          <w:iCs/>
        </w:rPr>
        <w:tab/>
      </w:r>
      <w:r>
        <w:rPr>
          <w:rFonts w:ascii="Arial" w:hAnsi="Arial" w:cs="Arial"/>
          <w:bCs/>
          <w:iCs/>
        </w:rPr>
        <w:t>de</w:t>
      </w:r>
      <w:r>
        <w:rPr>
          <w:rFonts w:ascii="Arial" w:hAnsi="Arial" w:cs="Arial"/>
          <w:bCs/>
          <w:iCs/>
        </w:rPr>
        <w:tab/>
      </w:r>
      <w:r>
        <w:rPr>
          <w:rFonts w:ascii="Arial" w:hAnsi="Arial" w:cs="Arial"/>
          <w:bCs/>
          <w:iCs/>
        </w:rPr>
        <w:t>2023.</w:t>
      </w:r>
    </w:p>
    <w:p w14:paraId="28460759">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6.3.2 </w:t>
      </w:r>
      <w:r>
        <w:rPr>
          <w:rFonts w:ascii="Arial" w:hAnsi="Arial" w:cs="Arial"/>
          <w:bCs/>
          <w:iCs/>
        </w:rPr>
        <w:t>No momento da emissão do Documento Fiscal e da liquidação da despesa, deverão ser obser - vados os dispositivos do Decreto Municipal nº 2.480/2023, que trata da arrecadação do Imposto de Renda incidente na fonte nos pagamentos a pessoas jurídicas efetuados por órgãos, fundos e funda- ções municipais, bem como as regras previstas no art. 64 da Lei Federal nº 9.430/1996 e na Instrução Normativa da Receita Federal nº 1.234/2012.</w:t>
      </w:r>
    </w:p>
    <w:p w14:paraId="366FCF28">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6.4 </w:t>
      </w:r>
      <w:r>
        <w:rPr>
          <w:rFonts w:ascii="Arial" w:hAnsi="Arial" w:cs="Arial"/>
          <w:bCs/>
          <w:iCs/>
        </w:rPr>
        <w:t>Do</w:t>
      </w:r>
      <w:r>
        <w:rPr>
          <w:rFonts w:ascii="Arial" w:hAnsi="Arial" w:cs="Arial"/>
          <w:bCs/>
          <w:iCs/>
        </w:rPr>
        <w:tab/>
      </w:r>
      <w:r>
        <w:rPr>
          <w:rFonts w:ascii="Arial" w:hAnsi="Arial" w:cs="Arial"/>
          <w:bCs/>
          <w:iCs/>
        </w:rPr>
        <w:t>pagamento</w:t>
      </w:r>
      <w:r>
        <w:rPr>
          <w:rFonts w:ascii="Arial" w:hAnsi="Arial" w:cs="Arial"/>
          <w:bCs/>
          <w:iCs/>
        </w:rPr>
        <w:tab/>
      </w:r>
      <w:r>
        <w:rPr>
          <w:rFonts w:ascii="Arial" w:hAnsi="Arial" w:cs="Arial"/>
          <w:bCs/>
          <w:iCs/>
        </w:rPr>
        <w:t>da</w:t>
      </w:r>
      <w:r>
        <w:rPr>
          <w:rFonts w:ascii="Arial" w:hAnsi="Arial" w:cs="Arial"/>
          <w:bCs/>
          <w:iCs/>
        </w:rPr>
        <w:tab/>
      </w:r>
      <w:r>
        <w:rPr>
          <w:rFonts w:ascii="Arial" w:hAnsi="Arial" w:cs="Arial"/>
          <w:bCs/>
          <w:iCs/>
        </w:rPr>
        <w:t>despesa:</w:t>
      </w:r>
    </w:p>
    <w:p w14:paraId="109457B9">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6.4.1 </w:t>
      </w:r>
      <w:r>
        <w:rPr>
          <w:rFonts w:ascii="Arial" w:hAnsi="Arial" w:cs="Arial"/>
          <w:bCs/>
          <w:iCs/>
        </w:rPr>
        <w:t>O pagamento será efetuado conforme o Decreto Municipal nº 2.493/2023, desde que estejam válidas as seguintes certidões:</w:t>
      </w:r>
    </w:p>
    <w:p w14:paraId="774FE768">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 </w:t>
      </w:r>
      <w:r>
        <w:rPr>
          <w:rFonts w:ascii="Arial" w:hAnsi="Arial" w:cs="Arial"/>
          <w:bCs/>
          <w:iCs/>
        </w:rPr>
        <w:t>Certidão Negativa de Débitos Trabalhistas;</w:t>
      </w:r>
    </w:p>
    <w:p w14:paraId="2D704741">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 </w:t>
      </w:r>
      <w:r>
        <w:rPr>
          <w:rFonts w:ascii="Arial" w:hAnsi="Arial" w:cs="Arial"/>
          <w:bCs/>
          <w:iCs/>
        </w:rPr>
        <w:t>Fazenda Federal – abrangendo contribuições sociais;</w:t>
      </w:r>
    </w:p>
    <w:p w14:paraId="342A83CE">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 </w:t>
      </w:r>
      <w:r>
        <w:rPr>
          <w:rFonts w:ascii="Arial" w:hAnsi="Arial" w:cs="Arial"/>
          <w:bCs/>
          <w:iCs/>
        </w:rPr>
        <w:t>FGTS;</w:t>
      </w:r>
    </w:p>
    <w:p w14:paraId="35792921">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 </w:t>
      </w:r>
      <w:r>
        <w:rPr>
          <w:rFonts w:ascii="Arial" w:hAnsi="Arial" w:cs="Arial"/>
          <w:bCs/>
          <w:iCs/>
        </w:rPr>
        <w:t>PGE – referente à Dívida Ativa Estadual;</w:t>
      </w:r>
    </w:p>
    <w:p w14:paraId="07EB93A9">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 </w:t>
      </w:r>
      <w:r>
        <w:rPr>
          <w:rFonts w:ascii="Arial" w:hAnsi="Arial" w:cs="Arial"/>
          <w:bCs/>
          <w:iCs/>
        </w:rPr>
        <w:t>Municipal – referente ao ISS e Dívida Ativa;</w:t>
      </w:r>
    </w:p>
    <w:p w14:paraId="1060A9A7">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 </w:t>
      </w:r>
      <w:r>
        <w:rPr>
          <w:rFonts w:ascii="Arial" w:hAnsi="Arial" w:cs="Arial"/>
          <w:bCs/>
          <w:iCs/>
        </w:rPr>
        <w:t>Estadual – CND referente ao ICMS.</w:t>
      </w:r>
    </w:p>
    <w:p w14:paraId="22B0D515">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6.4.2 </w:t>
      </w:r>
      <w:r>
        <w:rPr>
          <w:rFonts w:ascii="Arial" w:hAnsi="Arial" w:cs="Arial"/>
          <w:bCs/>
          <w:iCs/>
        </w:rPr>
        <w:t>A Nota Fiscal deverá indicar o Banco, número da Agência e da Conta Corrente, para possibilitar ao Contratante efetuar o pagamento.</w:t>
      </w:r>
    </w:p>
    <w:p w14:paraId="20D4179E">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6.4.3 </w:t>
      </w:r>
      <w:r>
        <w:rPr>
          <w:rFonts w:ascii="Arial" w:hAnsi="Arial" w:cs="Arial"/>
          <w:bCs/>
          <w:iCs/>
        </w:rPr>
        <w:t>Na ocorrência de rejeição da(s) Nota(s) Fiscal(is) por erro ou incorreção, o prazo para pagamen - to será contado a partir da data de reapresentação da(s) Nota(s).</w:t>
      </w:r>
    </w:p>
    <w:p w14:paraId="100DB51B">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6.4.4 </w:t>
      </w:r>
      <w:r>
        <w:rPr>
          <w:rFonts w:ascii="Arial" w:hAnsi="Arial" w:cs="Arial"/>
          <w:bCs/>
          <w:iCs/>
        </w:rPr>
        <w:t>Conforme o art. 45 da Lei nº 9.784/1999, a Administração Pública poderá, motivadamente e sem prévia manifestação do interessado, adotar providências acauteladoras, inclusive reter o paga- mento, em caso de risco iminente, como forma de prevenir dano de difícil ou impossível reparação.</w:t>
      </w:r>
    </w:p>
    <w:p w14:paraId="1D331713">
      <w:pPr>
        <w:pStyle w:val="19"/>
        <w:widowControl/>
        <w:numPr>
          <w:ilvl w:val="0"/>
          <w:numId w:val="0"/>
        </w:numPr>
        <w:tabs>
          <w:tab w:val="left" w:pos="426"/>
        </w:tabs>
        <w:autoSpaceDE/>
        <w:autoSpaceDN/>
        <w:spacing w:before="120" w:after="120" w:line="276" w:lineRule="auto"/>
        <w:ind w:leftChars="0" w:right="53" w:rightChars="24"/>
        <w:jc w:val="both"/>
        <w:rPr>
          <w:rFonts w:ascii="Arial" w:hAnsi="Arial" w:cs="Arial"/>
          <w:bCs/>
          <w:iCs/>
        </w:rPr>
      </w:pPr>
      <w:r>
        <w:rPr>
          <w:rFonts w:hint="default" w:ascii="Arial" w:hAnsi="Arial" w:cs="Arial"/>
          <w:bCs/>
          <w:iCs/>
          <w:lang w:val="pt-BR"/>
        </w:rPr>
        <w:t xml:space="preserve">6.4.5 </w:t>
      </w:r>
      <w:r>
        <w:rPr>
          <w:rFonts w:ascii="Arial" w:hAnsi="Arial" w:cs="Arial"/>
          <w:bCs/>
          <w:iCs/>
        </w:rPr>
        <w:t>O pagamento será efetuado pelo Município de Nova Friburgo mediante crédito em conta-corrente da contratada, até o 30º (trigésimo) dia corrido, a contar da atestação da Nota Fiscal apresentada pela contratada, desde que cumpridas as formalidades legais e contratuais previstas, e de acordo com o Decreto Municipal nº 2493, de 07 de novembro de 2023.</w:t>
      </w:r>
    </w:p>
    <w:p w14:paraId="3597BA5A">
      <w:pPr>
        <w:pStyle w:val="19"/>
        <w:numPr>
          <w:ilvl w:val="0"/>
          <w:numId w:val="3"/>
        </w:numPr>
        <w:tabs>
          <w:tab w:val="left" w:pos="284"/>
        </w:tabs>
        <w:spacing w:line="276" w:lineRule="auto"/>
        <w:ind w:left="0" w:firstLine="0"/>
        <w:rPr>
          <w:rFonts w:ascii="Arial" w:hAnsi="Arial" w:cs="Arial" w:eastAsiaTheme="majorEastAsia"/>
          <w:b/>
          <w:bCs/>
          <w:color w:val="auto"/>
          <w:lang w:val="pt-BR" w:eastAsia="pt-BR"/>
        </w:rPr>
      </w:pPr>
      <w:r>
        <w:rPr>
          <w:rFonts w:ascii="Arial" w:hAnsi="Arial" w:cs="Arial" w:eastAsiaTheme="majorEastAsia"/>
          <w:b/>
          <w:bCs/>
          <w:color w:val="auto"/>
          <w:lang w:val="pt-BR" w:eastAsia="pt-BR"/>
        </w:rPr>
        <w:t>CLÁUSULA SÉTIMA - REAJUSTE (art. 92, V)</w:t>
      </w:r>
    </w:p>
    <w:p w14:paraId="6348F2F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70569D4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w:t>
      </w:r>
      <w:r>
        <w:rPr>
          <w:rFonts w:ascii="Arial" w:hAnsi="Arial" w:cs="Arial"/>
          <w:bCs/>
          <w:iCs/>
          <w:lang w:val="pt-BR"/>
        </w:rPr>
        <w:t>o Instituto Brasileiro de Geografia e Estatística (IBGE)</w:t>
      </w:r>
      <w:r>
        <w:rPr>
          <w:rFonts w:ascii="Arial" w:hAnsi="Arial" w:cs="Arial"/>
          <w:bCs/>
          <w:iCs/>
        </w:rPr>
        <w:t>, exclusivamente para as obrigações iniciadas e concluídas após a ocorrência da anualidade.</w:t>
      </w:r>
    </w:p>
    <w:p w14:paraId="2DDE6E5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93CC5B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79045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CA7A2A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6175A2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8EA453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FA84FB2">
      <w:pPr>
        <w:widowControl/>
        <w:tabs>
          <w:tab w:val="left" w:pos="426"/>
        </w:tabs>
        <w:autoSpaceDE/>
        <w:autoSpaceDN/>
        <w:spacing w:before="120" w:after="120" w:line="276" w:lineRule="auto"/>
        <w:jc w:val="both"/>
        <w:rPr>
          <w:rFonts w:ascii="Arial" w:hAnsi="Arial" w:cs="Arial"/>
          <w:bCs/>
          <w:i/>
          <w:color w:val="FF0000"/>
        </w:rPr>
      </w:pPr>
    </w:p>
    <w:p w14:paraId="24576018">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F8B0CC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475FBE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6D4E471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F0A9D7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547C32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D16C92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5E2F74B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D9CABD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5E79A63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EA1B3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F21FBC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5080FE7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7845908">
      <w:pPr>
        <w:pStyle w:val="19"/>
        <w:widowControl/>
        <w:tabs>
          <w:tab w:val="left" w:pos="426"/>
        </w:tabs>
        <w:autoSpaceDE/>
        <w:autoSpaceDN/>
        <w:spacing w:before="120" w:after="120" w:line="276" w:lineRule="auto"/>
        <w:ind w:left="862"/>
        <w:jc w:val="both"/>
        <w:rPr>
          <w:rFonts w:ascii="Arial" w:hAnsi="Arial" w:cs="Arial"/>
          <w:bCs/>
          <w:iCs/>
          <w:lang w:val="pt-BR"/>
        </w:rPr>
      </w:pPr>
    </w:p>
    <w:p w14:paraId="13E10B0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414460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73CDEF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45D895A">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46497EF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6B375889">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7212FA0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3DEBAB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70443D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73D9A86">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09AAFC1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4853E2A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0C270AA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7BEA2066">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7CD199C2">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758ADBE2">
      <w:pPr>
        <w:pStyle w:val="45"/>
        <w:numPr>
          <w:ilvl w:val="1"/>
          <w:numId w:val="3"/>
        </w:numPr>
        <w:rPr>
          <w:sz w:val="22"/>
          <w:szCs w:val="22"/>
        </w:rPr>
      </w:pPr>
      <w:r>
        <w:rPr>
          <w:sz w:val="22"/>
          <w:szCs w:val="22"/>
        </w:rPr>
        <w:t xml:space="preserve">Guardar sigilo sobre todas as informações obtidas em decorrência do cumprimento do contrato; </w:t>
      </w:r>
    </w:p>
    <w:p w14:paraId="65F8514E">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35B655A2">
      <w:pPr>
        <w:pStyle w:val="45"/>
        <w:numPr>
          <w:ilvl w:val="1"/>
          <w:numId w:val="3"/>
        </w:numPr>
        <w:rPr>
          <w:sz w:val="22"/>
          <w:szCs w:val="22"/>
        </w:rPr>
      </w:pPr>
      <w:r>
        <w:rPr>
          <w:sz w:val="22"/>
          <w:szCs w:val="22"/>
        </w:rPr>
        <w:t>Cumprir, além dos postulados legais vigentes de âmbito federal, estadual ou municipal, as normas de segurança do contratante.</w:t>
      </w:r>
    </w:p>
    <w:p w14:paraId="02074FDA">
      <w:pPr>
        <w:pStyle w:val="19"/>
        <w:tabs>
          <w:tab w:val="left" w:pos="284"/>
        </w:tabs>
        <w:spacing w:line="276" w:lineRule="auto"/>
        <w:ind w:left="0"/>
        <w:rPr>
          <w:rFonts w:ascii="Arial" w:hAnsi="Arial" w:cs="Arial" w:eastAsiaTheme="majorEastAsia"/>
          <w:b/>
          <w:bCs/>
          <w:lang w:val="pt-BR" w:eastAsia="pt-BR"/>
        </w:rPr>
      </w:pPr>
    </w:p>
    <w:p w14:paraId="08F3143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7589948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4BAD1112">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59A26649">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72A730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728A9AFE">
      <w:pPr>
        <w:widowControl/>
        <w:numPr>
          <w:ilvl w:val="2"/>
          <w:numId w:val="6"/>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A68F3DD">
      <w:pPr>
        <w:widowControl/>
        <w:numPr>
          <w:ilvl w:val="2"/>
          <w:numId w:val="6"/>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7604D36">
      <w:pPr>
        <w:widowControl/>
        <w:numPr>
          <w:ilvl w:val="2"/>
          <w:numId w:val="6"/>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47EE7FD">
      <w:pPr>
        <w:widowControl/>
        <w:numPr>
          <w:ilvl w:val="2"/>
          <w:numId w:val="6"/>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3968072">
      <w:pPr>
        <w:widowControl/>
        <w:numPr>
          <w:ilvl w:val="2"/>
          <w:numId w:val="6"/>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FCA5D59">
      <w:pPr>
        <w:widowControl/>
        <w:numPr>
          <w:ilvl w:val="2"/>
          <w:numId w:val="6"/>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16BE131">
      <w:pPr>
        <w:widowControl/>
        <w:numPr>
          <w:ilvl w:val="2"/>
          <w:numId w:val="6"/>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2AB080B">
      <w:pPr>
        <w:widowControl/>
        <w:numPr>
          <w:ilvl w:val="2"/>
          <w:numId w:val="6"/>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76604F6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7D33893">
      <w:pPr>
        <w:pStyle w:val="19"/>
        <w:widowControl/>
        <w:numPr>
          <w:ilvl w:val="0"/>
          <w:numId w:val="7"/>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3" w:name="_Hlk114504069"/>
      <w:r>
        <w:rPr>
          <w:rStyle w:val="9"/>
          <w:rFonts w:ascii="Arial" w:hAnsi="Arial" w:eastAsia="Arial" w:cs="Arial"/>
        </w:rPr>
        <w:t>Lei nº 14.133, de 2021</w:t>
      </w:r>
      <w:bookmarkEnd w:id="3"/>
      <w:r>
        <w:rPr>
          <w:rStyle w:val="9"/>
          <w:rFonts w:ascii="Arial" w:hAnsi="Arial" w:eastAsia="Arial" w:cs="Arial"/>
        </w:rPr>
        <w:fldChar w:fldCharType="end"/>
      </w:r>
      <w:r>
        <w:rPr>
          <w:rFonts w:ascii="Arial" w:hAnsi="Arial" w:eastAsia="Arial" w:cs="Arial"/>
        </w:rPr>
        <w:t>);</w:t>
      </w:r>
    </w:p>
    <w:p w14:paraId="2D2E509F">
      <w:pPr>
        <w:pStyle w:val="19"/>
        <w:widowControl/>
        <w:numPr>
          <w:ilvl w:val="0"/>
          <w:numId w:val="7"/>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4D7A8D8">
      <w:pPr>
        <w:pStyle w:val="19"/>
        <w:widowControl/>
        <w:numPr>
          <w:ilvl w:val="0"/>
          <w:numId w:val="7"/>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755271">
      <w:pPr>
        <w:pStyle w:val="19"/>
        <w:widowControl/>
        <w:numPr>
          <w:ilvl w:val="0"/>
          <w:numId w:val="7"/>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FE88912">
      <w:pPr>
        <w:pStyle w:val="19"/>
        <w:widowControl/>
        <w:numPr>
          <w:ilvl w:val="1"/>
          <w:numId w:val="7"/>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6DF7771">
      <w:pPr>
        <w:pStyle w:val="19"/>
        <w:widowControl/>
        <w:numPr>
          <w:ilvl w:val="1"/>
          <w:numId w:val="7"/>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5F6064B">
      <w:pPr>
        <w:pStyle w:val="19"/>
        <w:widowControl/>
        <w:numPr>
          <w:ilvl w:val="2"/>
          <w:numId w:val="7"/>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4A5C0F5C">
      <w:pPr>
        <w:pStyle w:val="19"/>
        <w:widowControl/>
        <w:numPr>
          <w:ilvl w:val="1"/>
          <w:numId w:val="7"/>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48C62B64">
      <w:pPr>
        <w:pStyle w:val="19"/>
        <w:widowControl/>
        <w:numPr>
          <w:ilvl w:val="1"/>
          <w:numId w:val="7"/>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757B758A">
      <w:pPr>
        <w:pStyle w:val="19"/>
        <w:widowControl/>
        <w:numPr>
          <w:ilvl w:val="1"/>
          <w:numId w:val="7"/>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1C5923A6">
      <w:pPr>
        <w:pStyle w:val="19"/>
        <w:widowControl/>
        <w:numPr>
          <w:ilvl w:val="1"/>
          <w:numId w:val="7"/>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22B95C2A">
      <w:pPr>
        <w:pStyle w:val="19"/>
        <w:widowControl/>
        <w:numPr>
          <w:ilvl w:val="1"/>
          <w:numId w:val="7"/>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088DE28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4638A08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0574019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4E6DB27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6163F99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536BBDF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6763CD4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7AC7E6A0">
      <w:pPr>
        <w:widowControl/>
        <w:numPr>
          <w:ilvl w:val="0"/>
          <w:numId w:val="8"/>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E7784A">
      <w:pPr>
        <w:widowControl/>
        <w:numPr>
          <w:ilvl w:val="0"/>
          <w:numId w:val="8"/>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07FEABF1">
      <w:pPr>
        <w:widowControl/>
        <w:numPr>
          <w:ilvl w:val="0"/>
          <w:numId w:val="8"/>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016F618">
      <w:pPr>
        <w:widowControl/>
        <w:numPr>
          <w:ilvl w:val="0"/>
          <w:numId w:val="8"/>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BEBE3BE">
      <w:pPr>
        <w:widowControl/>
        <w:numPr>
          <w:ilvl w:val="0"/>
          <w:numId w:val="8"/>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38CAE84">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070FC42A">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02E53A4E">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2EFA7AE8">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5A49F57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5ACB71AD">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6F6BD1BB">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1659E80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1227EA9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205FF269">
      <w:pPr>
        <w:pStyle w:val="19"/>
        <w:widowControl/>
        <w:numPr>
          <w:ilvl w:val="1"/>
          <w:numId w:val="9"/>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1BE35F2B">
      <w:pPr>
        <w:pStyle w:val="19"/>
        <w:widowControl/>
        <w:numPr>
          <w:ilvl w:val="1"/>
          <w:numId w:val="9"/>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67053E4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4F33BC5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0ECCD0B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2709D8D">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1559219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176A3888">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6107865B">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78BA3FC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1C2E872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28FB6C72">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7C1573">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493BDDED">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hint="default" w:ascii="Arial" w:hAnsi="Arial" w:cs="Arial"/>
          <w:lang w:val="pt-BR"/>
        </w:rPr>
        <w:t xml:space="preserve">13.1 </w:t>
      </w:r>
      <w:r>
        <w:rPr>
          <w:rFonts w:ascii="Arial" w:hAnsi="Arial" w:cs="Arial"/>
        </w:rPr>
        <w:t>As despesas decorrentes da presente contratação correrão à conta de recursos específicos con- signados no Orçamento do Município.</w:t>
      </w:r>
    </w:p>
    <w:p w14:paraId="762DA8B0">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hint="default" w:ascii="Arial" w:hAnsi="Arial" w:cs="Arial"/>
          <w:lang w:val="pt-BR"/>
        </w:rPr>
        <w:t xml:space="preserve">13.2 </w:t>
      </w:r>
      <w:r>
        <w:rPr>
          <w:rFonts w:ascii="Arial" w:hAnsi="Arial" w:cs="Arial"/>
        </w:rPr>
        <w:t>A contratação será atendida pela seguinte dotação:</w:t>
      </w:r>
    </w:p>
    <w:tbl>
      <w:tblPr>
        <w:tblStyle w:val="6"/>
        <w:tblW w:w="0" w:type="auto"/>
        <w:tblInd w:w="38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536"/>
      </w:tblGrid>
      <w:tr w14:paraId="62B3B3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4534" w:type="dxa"/>
          </w:tcPr>
          <w:p w14:paraId="0BDE0F5D">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rPr>
              <w:t>Órgão/Unidade Orçamentária:</w:t>
            </w:r>
          </w:p>
        </w:tc>
        <w:tc>
          <w:tcPr>
            <w:tcW w:w="4536" w:type="dxa"/>
          </w:tcPr>
          <w:p w14:paraId="05FC80AD">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rPr>
              <w:t>Gerência de Proteção Social Especial</w:t>
            </w:r>
          </w:p>
        </w:tc>
      </w:tr>
      <w:tr w14:paraId="77F6E9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4534" w:type="dxa"/>
          </w:tcPr>
          <w:p w14:paraId="71AEB62F">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rPr>
              <w:t>Fonte de Recursos:</w:t>
            </w:r>
          </w:p>
        </w:tc>
        <w:tc>
          <w:tcPr>
            <w:tcW w:w="4536" w:type="dxa"/>
          </w:tcPr>
          <w:p w14:paraId="2CF15C8F">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rPr>
              <w:t>1660/ 1661</w:t>
            </w:r>
          </w:p>
        </w:tc>
      </w:tr>
      <w:tr w14:paraId="4A2E5D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1" w:hRule="atLeast"/>
        </w:trPr>
        <w:tc>
          <w:tcPr>
            <w:tcW w:w="4534" w:type="dxa"/>
          </w:tcPr>
          <w:p w14:paraId="568516E3">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rPr>
              <w:t>Programa de Trabalho:</w:t>
            </w:r>
          </w:p>
        </w:tc>
        <w:tc>
          <w:tcPr>
            <w:tcW w:w="4536" w:type="dxa"/>
          </w:tcPr>
          <w:p w14:paraId="2AE95337">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rPr>
              <w:t>36001082.44094.2.238 / 36.001.082440094.2.242</w:t>
            </w:r>
          </w:p>
        </w:tc>
      </w:tr>
      <w:tr w14:paraId="2BBBE6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 w:hRule="atLeast"/>
        </w:trPr>
        <w:tc>
          <w:tcPr>
            <w:tcW w:w="4534" w:type="dxa"/>
          </w:tcPr>
          <w:p w14:paraId="0597D792">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rPr>
              <w:t>Natureza da Despesa:</w:t>
            </w:r>
          </w:p>
        </w:tc>
        <w:tc>
          <w:tcPr>
            <w:tcW w:w="4536" w:type="dxa"/>
          </w:tcPr>
          <w:p w14:paraId="1F8D64E9">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rPr>
              <w:t>339030-04</w:t>
            </w:r>
          </w:p>
        </w:tc>
      </w:tr>
    </w:tbl>
    <w:p w14:paraId="120C7BB4">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3C34E8E1">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00A10458">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03F2739F">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074A5C54">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4AC4B385">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9A5E52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0217FC09">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6D2C9166">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431F5E12">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459C19E">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89D31E9">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06E54F0">
      <w:pPr>
        <w:spacing w:before="120" w:after="120" w:line="276" w:lineRule="auto"/>
        <w:jc w:val="both"/>
        <w:rPr>
          <w:rFonts w:ascii="Arial" w:hAnsi="Arial" w:cs="Arial"/>
        </w:rPr>
      </w:pPr>
    </w:p>
    <w:p w14:paraId="01908919">
      <w:pPr>
        <w:spacing w:after="120" w:line="360" w:lineRule="auto"/>
        <w:ind w:right="-15"/>
        <w:jc w:val="right"/>
        <w:rPr>
          <w:rFonts w:ascii="Arial" w:hAnsi="Arial" w:cs="Arial"/>
        </w:rPr>
      </w:pPr>
      <w:r>
        <w:rPr>
          <w:rFonts w:ascii="Arial" w:hAnsi="Arial" w:cs="Arial"/>
        </w:rPr>
        <w:t>...........................................,  .......... de.......................................... de 2026.</w:t>
      </w:r>
    </w:p>
    <w:p w14:paraId="2C095078">
      <w:pPr>
        <w:spacing w:after="120"/>
        <w:jc w:val="center"/>
        <w:rPr>
          <w:rFonts w:ascii="Arial" w:hAnsi="Arial" w:cs="Arial"/>
          <w:bCs/>
        </w:rPr>
      </w:pPr>
    </w:p>
    <w:p w14:paraId="068B980A">
      <w:pPr>
        <w:spacing w:after="120"/>
        <w:jc w:val="center"/>
        <w:rPr>
          <w:rFonts w:ascii="Arial" w:hAnsi="Arial" w:cs="Arial"/>
          <w:bCs/>
        </w:rPr>
      </w:pPr>
    </w:p>
    <w:p w14:paraId="4F3E6829">
      <w:pPr>
        <w:spacing w:after="120"/>
        <w:jc w:val="center"/>
        <w:rPr>
          <w:rFonts w:ascii="Arial" w:hAnsi="Arial" w:cs="Arial"/>
          <w:bCs/>
        </w:rPr>
      </w:pPr>
    </w:p>
    <w:p w14:paraId="0474FF7C">
      <w:pPr>
        <w:spacing w:after="120"/>
        <w:jc w:val="center"/>
        <w:rPr>
          <w:rFonts w:ascii="Arial" w:hAnsi="Arial" w:cs="Arial"/>
          <w:bCs/>
        </w:rPr>
      </w:pPr>
      <w:r>
        <w:rPr>
          <w:rFonts w:ascii="Arial" w:hAnsi="Arial" w:cs="Arial"/>
          <w:bCs/>
        </w:rPr>
        <w:t>_________________________</w:t>
      </w:r>
    </w:p>
    <w:p w14:paraId="1779E7D1">
      <w:pPr>
        <w:spacing w:after="120"/>
        <w:jc w:val="center"/>
        <w:rPr>
          <w:rFonts w:ascii="Arial" w:hAnsi="Arial" w:cs="Arial"/>
          <w:bCs/>
        </w:rPr>
      </w:pPr>
      <w:r>
        <w:rPr>
          <w:rFonts w:ascii="Arial" w:hAnsi="Arial" w:cs="Arial"/>
          <w:bCs/>
        </w:rPr>
        <w:t>Responsável legal da CONTRATANTE</w:t>
      </w:r>
    </w:p>
    <w:p w14:paraId="55DB71F9">
      <w:pPr>
        <w:spacing w:after="120"/>
        <w:jc w:val="center"/>
        <w:rPr>
          <w:rFonts w:ascii="Arial" w:hAnsi="Arial" w:cs="Arial"/>
        </w:rPr>
      </w:pPr>
    </w:p>
    <w:p w14:paraId="3ABEFBC1">
      <w:pPr>
        <w:spacing w:after="120"/>
        <w:jc w:val="center"/>
        <w:rPr>
          <w:rFonts w:ascii="Arial" w:hAnsi="Arial" w:cs="Arial"/>
        </w:rPr>
      </w:pPr>
      <w:r>
        <w:rPr>
          <w:rFonts w:ascii="Arial" w:hAnsi="Arial" w:cs="Arial"/>
        </w:rPr>
        <w:t>_________________________</w:t>
      </w:r>
    </w:p>
    <w:p w14:paraId="4BCCED7F">
      <w:pPr>
        <w:spacing w:after="120"/>
        <w:jc w:val="center"/>
        <w:rPr>
          <w:rFonts w:ascii="Arial" w:hAnsi="Arial" w:cs="Arial"/>
        </w:rPr>
      </w:pPr>
      <w:r>
        <w:rPr>
          <w:rFonts w:ascii="Arial" w:hAnsi="Arial" w:cs="Arial"/>
        </w:rPr>
        <w:t>Responsável legal da CONTRATADA</w:t>
      </w:r>
    </w:p>
    <w:p w14:paraId="102AB38A">
      <w:pPr>
        <w:spacing w:after="120"/>
        <w:jc w:val="both"/>
        <w:rPr>
          <w:rFonts w:ascii="Arial" w:hAnsi="Arial" w:cs="Arial"/>
        </w:rPr>
      </w:pPr>
    </w:p>
    <w:p w14:paraId="5D57D0AF">
      <w:pPr>
        <w:spacing w:after="120"/>
        <w:jc w:val="both"/>
        <w:rPr>
          <w:rFonts w:ascii="Arial" w:hAnsi="Arial" w:cs="Arial"/>
        </w:rPr>
      </w:pPr>
      <w:r>
        <w:rPr>
          <w:rFonts w:ascii="Arial" w:hAnsi="Arial" w:cs="Arial"/>
        </w:rPr>
        <w:t>TESTEMUNHAS:</w:t>
      </w:r>
    </w:p>
    <w:p w14:paraId="373B24F2">
      <w:pPr>
        <w:spacing w:after="120"/>
        <w:jc w:val="both"/>
        <w:rPr>
          <w:rFonts w:ascii="Arial" w:hAnsi="Arial" w:cs="Arial"/>
        </w:rPr>
      </w:pPr>
      <w:r>
        <w:rPr>
          <w:rFonts w:ascii="Arial" w:hAnsi="Arial" w:cs="Arial"/>
        </w:rPr>
        <w:t>1-</w:t>
      </w:r>
    </w:p>
    <w:p w14:paraId="51FDAB19">
      <w:pPr>
        <w:spacing w:after="120"/>
        <w:jc w:val="both"/>
        <w:rPr>
          <w:rFonts w:ascii="Arial" w:hAnsi="Arial" w:cs="Arial"/>
        </w:rPr>
      </w:pPr>
      <w:r>
        <w:rPr>
          <w:rFonts w:ascii="Arial" w:hAnsi="Arial" w:cs="Arial"/>
        </w:rPr>
        <w:t>2-</w:t>
      </w:r>
    </w:p>
    <w:p w14:paraId="532382A8">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6C17">
    <w:pPr>
      <w:pStyle w:val="15"/>
      <w:jc w:val="center"/>
      <w:rPr>
        <w:rFonts w:ascii="Azo Sans Md" w:hAnsi="Azo Sans Md"/>
        <w:b/>
        <w:bCs/>
        <w:color w:val="000000"/>
        <w:sz w:val="18"/>
        <w:szCs w:val="18"/>
      </w:rPr>
    </w:pPr>
  </w:p>
  <w:p w14:paraId="435CF93D">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54C62DEB">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hint="default" w:ascii="Arial" w:hAnsi="Arial" w:cs="Arial"/>
        <w:sz w:val="18"/>
        <w:szCs w:val="18"/>
        <w:lang w:val="pt-BR"/>
      </w:rPr>
      <w:t>licitacaopmnf</w:t>
    </w:r>
    <w:r>
      <w:rPr>
        <w:rStyle w:val="9"/>
        <w:rFonts w:ascii="Arial" w:hAnsi="Arial" w:cs="Arial"/>
        <w:sz w:val="18"/>
        <w:szCs w:val="18"/>
      </w:rPr>
      <w:t>@gmail.com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6389BFA5">
    <w:pPr>
      <w:pStyle w:val="15"/>
      <w:jc w:val="center"/>
      <w:rPr>
        <w:rFonts w:ascii="Arial" w:hAnsi="Arial" w:cs="Arial"/>
        <w:color w:val="000000"/>
        <w:sz w:val="18"/>
        <w:szCs w:val="18"/>
      </w:rPr>
    </w:pPr>
    <w:r>
      <w:rPr>
        <w:rFonts w:ascii="Arial" w:hAnsi="Arial" w:cs="Arial"/>
        <w:color w:val="000000"/>
        <w:sz w:val="18"/>
        <w:szCs w:val="18"/>
      </w:rPr>
      <w:t>(22) 2525-9101</w:t>
    </w:r>
  </w:p>
  <w:p w14:paraId="51BD31BF">
    <w:pPr>
      <w:pStyle w:val="15"/>
      <w:jc w:val="center"/>
      <w:rPr>
        <w:rFonts w:ascii="Arial" w:hAnsi="Arial" w:cs="Arial"/>
        <w:color w:val="000000"/>
        <w:sz w:val="18"/>
        <w:szCs w:val="18"/>
      </w:rPr>
    </w:pPr>
  </w:p>
  <w:p w14:paraId="02A9EEA9">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4AB42">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7EF25">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BB34">
    <w:pPr>
      <w:pStyle w:val="14"/>
      <w:ind w:left="-219" w:leftChars="-193" w:hanging="206" w:firstLineChars="0"/>
      <w:rPr>
        <w:sz w:val="4"/>
        <w:szCs w:val="4"/>
      </w:rPr>
    </w:pPr>
    <w:r>
      <w:drawing>
        <wp:inline distT="0" distB="0" distL="0" distR="0">
          <wp:extent cx="5761990" cy="875665"/>
          <wp:effectExtent l="0" t="0" r="0" b="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m 3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5761990" cy="875665"/>
                  </a:xfrm>
                  <a:prstGeom prst="rect">
                    <a:avLst/>
                  </a:prstGeom>
                  <a:noFill/>
                  <a:ln>
                    <a:noFill/>
                  </a:ln>
                </pic:spPr>
              </pic:pic>
            </a:graphicData>
          </a:graphic>
        </wp:inline>
      </w:drawing>
    </w:r>
  </w:p>
  <w:p w14:paraId="4F9E0DC8">
    <w:pPr>
      <w:pStyle w:val="14"/>
      <w:ind w:left="-219" w:leftChars="-193" w:hanging="206" w:firstLineChars="0"/>
      <w:rPr>
        <w:sz w:val="4"/>
        <w:szCs w:val="4"/>
      </w:rPr>
    </w:pPr>
  </w:p>
  <w:p w14:paraId="3C05F382">
    <w:pPr>
      <w:pStyle w:val="14"/>
      <w:ind w:left="-219" w:leftChars="-193" w:hanging="206" w:firstLineChars="0"/>
      <w:rPr>
        <w:sz w:val="4"/>
        <w:szCs w:val="4"/>
      </w:rPr>
    </w:pPr>
  </w:p>
  <w:p w14:paraId="77A7AE5F">
    <w:pPr>
      <w:pStyle w:val="14"/>
      <w:ind w:left="-219" w:leftChars="-193" w:hanging="206" w:firstLineChars="0"/>
      <w:rPr>
        <w:sz w:val="4"/>
        <w:szCs w:val="4"/>
        <w:lang w:val="pt-BR" w:eastAsia="zh-CN"/>
      </w:rPr>
    </w:pPr>
  </w:p>
  <w:p w14:paraId="26225F3B">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07320C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94CD">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A7B4F">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0"/>
      <w:numFmt w:val="bullet"/>
      <w:lvlText w:val=""/>
      <w:lvlJc w:val="left"/>
      <w:pPr>
        <w:ind w:left="1090" w:hanging="360"/>
      </w:pPr>
      <w:rPr>
        <w:rFonts w:hint="default" w:ascii="Symbol" w:hAnsi="Symbol" w:eastAsia="Symbol" w:cs="Symbol"/>
        <w:spacing w:val="0"/>
        <w:w w:val="100"/>
        <w:lang w:val="pt-PT" w:eastAsia="en-US" w:bidi="ar-SA"/>
      </w:rPr>
    </w:lvl>
    <w:lvl w:ilvl="1" w:tentative="0">
      <w:start w:val="0"/>
      <w:numFmt w:val="bullet"/>
      <w:lvlText w:val="•"/>
      <w:lvlJc w:val="left"/>
      <w:pPr>
        <w:ind w:left="1978" w:hanging="360"/>
      </w:pPr>
      <w:rPr>
        <w:rFonts w:hint="default"/>
        <w:lang w:val="pt-PT" w:eastAsia="en-US" w:bidi="ar-SA"/>
      </w:rPr>
    </w:lvl>
    <w:lvl w:ilvl="2" w:tentative="0">
      <w:start w:val="0"/>
      <w:numFmt w:val="bullet"/>
      <w:lvlText w:val="•"/>
      <w:lvlJc w:val="left"/>
      <w:pPr>
        <w:ind w:left="2876" w:hanging="360"/>
      </w:pPr>
      <w:rPr>
        <w:rFonts w:hint="default"/>
        <w:lang w:val="pt-PT" w:eastAsia="en-US" w:bidi="ar-SA"/>
      </w:rPr>
    </w:lvl>
    <w:lvl w:ilvl="3" w:tentative="0">
      <w:start w:val="0"/>
      <w:numFmt w:val="bullet"/>
      <w:lvlText w:val="•"/>
      <w:lvlJc w:val="left"/>
      <w:pPr>
        <w:ind w:left="3775" w:hanging="360"/>
      </w:pPr>
      <w:rPr>
        <w:rFonts w:hint="default"/>
        <w:lang w:val="pt-PT" w:eastAsia="en-US" w:bidi="ar-SA"/>
      </w:rPr>
    </w:lvl>
    <w:lvl w:ilvl="4" w:tentative="0">
      <w:start w:val="0"/>
      <w:numFmt w:val="bullet"/>
      <w:lvlText w:val="•"/>
      <w:lvlJc w:val="left"/>
      <w:pPr>
        <w:ind w:left="4673" w:hanging="360"/>
      </w:pPr>
      <w:rPr>
        <w:rFonts w:hint="default"/>
        <w:lang w:val="pt-PT" w:eastAsia="en-US" w:bidi="ar-SA"/>
      </w:rPr>
    </w:lvl>
    <w:lvl w:ilvl="5" w:tentative="0">
      <w:start w:val="0"/>
      <w:numFmt w:val="bullet"/>
      <w:lvlText w:val="•"/>
      <w:lvlJc w:val="left"/>
      <w:pPr>
        <w:ind w:left="5572" w:hanging="360"/>
      </w:pPr>
      <w:rPr>
        <w:rFonts w:hint="default"/>
        <w:lang w:val="pt-PT" w:eastAsia="en-US" w:bidi="ar-SA"/>
      </w:rPr>
    </w:lvl>
    <w:lvl w:ilvl="6" w:tentative="0">
      <w:start w:val="0"/>
      <w:numFmt w:val="bullet"/>
      <w:lvlText w:val="•"/>
      <w:lvlJc w:val="left"/>
      <w:pPr>
        <w:ind w:left="6470" w:hanging="360"/>
      </w:pPr>
      <w:rPr>
        <w:rFonts w:hint="default"/>
        <w:lang w:val="pt-PT" w:eastAsia="en-US" w:bidi="ar-SA"/>
      </w:rPr>
    </w:lvl>
    <w:lvl w:ilvl="7" w:tentative="0">
      <w:start w:val="0"/>
      <w:numFmt w:val="bullet"/>
      <w:lvlText w:val="•"/>
      <w:lvlJc w:val="left"/>
      <w:pPr>
        <w:ind w:left="7368" w:hanging="360"/>
      </w:pPr>
      <w:rPr>
        <w:rFonts w:hint="default"/>
        <w:lang w:val="pt-PT" w:eastAsia="en-US" w:bidi="ar-SA"/>
      </w:rPr>
    </w:lvl>
    <w:lvl w:ilvl="8" w:tentative="0">
      <w:start w:val="0"/>
      <w:numFmt w:val="bullet"/>
      <w:lvlText w:val="•"/>
      <w:lvlJc w:val="left"/>
      <w:pPr>
        <w:ind w:left="8267" w:hanging="360"/>
      </w:pPr>
      <w:rPr>
        <w:rFonts w:hint="default"/>
        <w:lang w:val="pt-PT" w:eastAsia="en-US" w:bidi="ar-SA"/>
      </w:rPr>
    </w:lvl>
  </w:abstractNum>
  <w:abstractNum w:abstractNumId="1">
    <w:nsid w:val="93E88A49"/>
    <w:multiLevelType w:val="singleLevel"/>
    <w:tmpl w:val="93E88A49"/>
    <w:lvl w:ilvl="0" w:tentative="0">
      <w:start w:val="2"/>
      <w:numFmt w:val="decimal"/>
      <w:lvlText w:val="%1"/>
      <w:lvlJc w:val="left"/>
    </w:lvl>
  </w:abstractNum>
  <w:abstractNum w:abstractNumId="2">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3">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4">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5">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39A0D9AC"/>
    <w:multiLevelType w:val="multilevel"/>
    <w:tmpl w:val="39A0D9AC"/>
    <w:lvl w:ilvl="0" w:tentative="0">
      <w:start w:val="1"/>
      <w:numFmt w:val="lowerLetter"/>
      <w:lvlText w:val="%1)"/>
      <w:lvlJc w:val="left"/>
      <w:pPr>
        <w:ind w:left="1801" w:hanging="1432"/>
        <w:jc w:val="left"/>
      </w:pPr>
      <w:rPr>
        <w:rFonts w:hint="default" w:ascii="Calibri" w:hAnsi="Calibri" w:eastAsia="Calibri" w:cs="Calibri"/>
        <w:b w:val="0"/>
        <w:bCs w:val="0"/>
        <w:i w:val="0"/>
        <w:iCs w:val="0"/>
        <w:spacing w:val="0"/>
        <w:w w:val="100"/>
        <w:sz w:val="22"/>
        <w:szCs w:val="22"/>
        <w:lang w:val="pt-PT" w:eastAsia="en-US" w:bidi="ar-SA"/>
      </w:rPr>
    </w:lvl>
    <w:lvl w:ilvl="1" w:tentative="0">
      <w:start w:val="0"/>
      <w:numFmt w:val="bullet"/>
      <w:lvlText w:val="•"/>
      <w:lvlJc w:val="left"/>
      <w:pPr>
        <w:ind w:left="2626" w:hanging="1432"/>
      </w:pPr>
      <w:rPr>
        <w:rFonts w:hint="default"/>
        <w:lang w:val="pt-PT" w:eastAsia="en-US" w:bidi="ar-SA"/>
      </w:rPr>
    </w:lvl>
    <w:lvl w:ilvl="2" w:tentative="0">
      <w:start w:val="0"/>
      <w:numFmt w:val="bullet"/>
      <w:lvlText w:val="•"/>
      <w:lvlJc w:val="left"/>
      <w:pPr>
        <w:ind w:left="3452" w:hanging="1432"/>
      </w:pPr>
      <w:rPr>
        <w:rFonts w:hint="default"/>
        <w:lang w:val="pt-PT" w:eastAsia="en-US" w:bidi="ar-SA"/>
      </w:rPr>
    </w:lvl>
    <w:lvl w:ilvl="3" w:tentative="0">
      <w:start w:val="0"/>
      <w:numFmt w:val="bullet"/>
      <w:lvlText w:val="•"/>
      <w:lvlJc w:val="left"/>
      <w:pPr>
        <w:ind w:left="4279" w:hanging="1432"/>
      </w:pPr>
      <w:rPr>
        <w:rFonts w:hint="default"/>
        <w:lang w:val="pt-PT" w:eastAsia="en-US" w:bidi="ar-SA"/>
      </w:rPr>
    </w:lvl>
    <w:lvl w:ilvl="4" w:tentative="0">
      <w:start w:val="0"/>
      <w:numFmt w:val="bullet"/>
      <w:lvlText w:val="•"/>
      <w:lvlJc w:val="left"/>
      <w:pPr>
        <w:ind w:left="5105" w:hanging="1432"/>
      </w:pPr>
      <w:rPr>
        <w:rFonts w:hint="default"/>
        <w:lang w:val="pt-PT" w:eastAsia="en-US" w:bidi="ar-SA"/>
      </w:rPr>
    </w:lvl>
    <w:lvl w:ilvl="5" w:tentative="0">
      <w:start w:val="0"/>
      <w:numFmt w:val="bullet"/>
      <w:lvlText w:val="•"/>
      <w:lvlJc w:val="left"/>
      <w:pPr>
        <w:ind w:left="5932" w:hanging="1432"/>
      </w:pPr>
      <w:rPr>
        <w:rFonts w:hint="default"/>
        <w:lang w:val="pt-PT" w:eastAsia="en-US" w:bidi="ar-SA"/>
      </w:rPr>
    </w:lvl>
    <w:lvl w:ilvl="6" w:tentative="0">
      <w:start w:val="0"/>
      <w:numFmt w:val="bullet"/>
      <w:lvlText w:val="•"/>
      <w:lvlJc w:val="left"/>
      <w:pPr>
        <w:ind w:left="6758" w:hanging="1432"/>
      </w:pPr>
      <w:rPr>
        <w:rFonts w:hint="default"/>
        <w:lang w:val="pt-PT" w:eastAsia="en-US" w:bidi="ar-SA"/>
      </w:rPr>
    </w:lvl>
    <w:lvl w:ilvl="7" w:tentative="0">
      <w:start w:val="0"/>
      <w:numFmt w:val="bullet"/>
      <w:lvlText w:val="•"/>
      <w:lvlJc w:val="left"/>
      <w:pPr>
        <w:ind w:left="7584" w:hanging="1432"/>
      </w:pPr>
      <w:rPr>
        <w:rFonts w:hint="default"/>
        <w:lang w:val="pt-PT" w:eastAsia="en-US" w:bidi="ar-SA"/>
      </w:rPr>
    </w:lvl>
    <w:lvl w:ilvl="8" w:tentative="0">
      <w:start w:val="0"/>
      <w:numFmt w:val="bullet"/>
      <w:lvlText w:val="•"/>
      <w:lvlJc w:val="left"/>
      <w:pPr>
        <w:ind w:left="8411" w:hanging="1432"/>
      </w:pPr>
      <w:rPr>
        <w:rFonts w:hint="default"/>
        <w:lang w:val="pt-PT" w:eastAsia="en-US" w:bidi="ar-SA"/>
      </w:rPr>
    </w:lvl>
  </w:abstractNum>
  <w:abstractNum w:abstractNumId="7">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8">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5"/>
  </w:num>
  <w:num w:numId="2">
    <w:abstractNumId w:val="1"/>
  </w:num>
  <w:num w:numId="3">
    <w:abstractNumId w:val="4"/>
  </w:num>
  <w:num w:numId="4">
    <w:abstractNumId w:val="6"/>
  </w:num>
  <w:num w:numId="5">
    <w:abstractNumId w:val="0"/>
  </w:num>
  <w:num w:numId="6">
    <w:abstractNumId w:val="8"/>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A491A"/>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1905086"/>
    <w:rsid w:val="0A8C0FFD"/>
    <w:rsid w:val="11CC2ACE"/>
    <w:rsid w:val="1A406645"/>
    <w:rsid w:val="1AF72D93"/>
    <w:rsid w:val="1FD12E07"/>
    <w:rsid w:val="23DD2684"/>
    <w:rsid w:val="3C4D19A5"/>
    <w:rsid w:val="3C9967A2"/>
    <w:rsid w:val="3D361311"/>
    <w:rsid w:val="4AB6758E"/>
    <w:rsid w:val="501F24D5"/>
    <w:rsid w:val="5C237373"/>
    <w:rsid w:val="623C6820"/>
    <w:rsid w:val="68532C20"/>
    <w:rsid w:val="6C4F6C3A"/>
    <w:rsid w:val="70B42442"/>
    <w:rsid w:val="72842370"/>
    <w:rsid w:val="749B1192"/>
    <w:rsid w:val="77B2358A"/>
    <w:rsid w:val="7FEA21D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16</Pages>
  <Words>5363</Words>
  <Characters>28963</Characters>
  <Lines>241</Lines>
  <Paragraphs>68</Paragraphs>
  <TotalTime>7</TotalTime>
  <ScaleCrop>false</ScaleCrop>
  <LinksUpToDate>false</LinksUpToDate>
  <CharactersWithSpaces>34258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cintia.mayer</cp:lastModifiedBy>
  <cp:lastPrinted>2023-08-22T17:19:00Z</cp:lastPrinted>
  <dcterms:modified xsi:type="dcterms:W3CDTF">2026-03-09T13:18:17Z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3D9BFA24E7BC422E952D888ACFBE3B58_12</vt:lpwstr>
  </property>
</Properties>
</file>